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ook w:firstColumn="1" w:firstRow="1" w:lastColumn="0" w:lastRow="0" w:noHBand="0" w:noVBand="1" w:val="04A0"/>
        <w:tblInd w:w="0" w:type="dxa"/>
      </w:tblPr>
      <w:tblGrid>
        <w:gridCol w:w="9590"/>
      </w:tblGrid>
      <w:tr>
        <w:tc>
          <w:tcPr>
            <w:tcW w:type="dxa" w:w="9590"/>
            <w:shd w:fill="111820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FFFFFF"/>
                <w:sz w:val="18"/>
              </w:rPr>
              <w:t>ДОКАЗАТЕЛЬНАЯ МЕДИЦИНА • КОРПОРАТИВНОЕ УПРАВЛЕНИЕ • РЕКЛАМА</w:t>
            </w:r>
          </w:p>
        </w:tc>
      </w:tr>
    </w:tbl>
    <w:p>
      <w:r/>
    </w:p>
    <w:p>
      <w:pPr>
        <w:pStyle w:val="Title"/>
      </w:pPr>
      <w:r>
        <w:t>БЕЗРЕЦЕПТУРНОЕ ЛЕКАРСТВО ОТ КАШЛЯ</w:t>
        <w:br/>
        <w:t>С НАРКОТИЧЕСКИМ ВЕЩЕСТВОМ — КОДЕИНОМ</w:t>
        <w:br/>
        <w:t>ДЛЯ ДЕТЕЙ ОТ ДВУХ ЛЕТ</w:t>
        <w:br/>
        <w:t>ОТ «ФАРМСТАНДАРТА»</w:t>
      </w:r>
    </w:p>
    <w:p>
      <w:pPr>
        <w:pStyle w:val="Subtitle"/>
      </w:pPr>
      <w:r>
        <w:t>Документированные сведения о составе, детском применении, безрецептурном отпуске, рекламе, продажах, управлении и профессиональной ответственности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502776"/>
            <wp:docPr id="1" name="figure_tv_ad_evidence_strip" descr="Two archived Codelac television advertising frames from 2005 and 2006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tv_ad_evidence_strip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502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Архивные кадры 2005 и 2006 годов. Слева — продуктовые заявления; справа — жидкая форма и регистрационный номер Р/У № 002419/01. Кадры извлечены из сохранённых записей без генеративной реконструкции.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0" w:type="dxa"/>
      </w:tblPr>
      <w:tblGrid>
        <w:gridCol w:w="3197"/>
        <w:gridCol w:w="3197"/>
        <w:gridCol w:w="3197"/>
      </w:tblGrid>
      <w:tr>
        <w:tc>
          <w:tcPr>
            <w:tcW w:type="dxa" w:w="3197"/>
            <w:shd w:fill="F8E9E9"/>
            <w:tcMar>
              <w:top w:w="130" w:type="dxa"/>
              <w:start w:w="100" w:type="dxa"/>
              <w:bottom w:w="12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6E1A20"/>
                <w:sz w:val="30"/>
              </w:rPr>
              <w:t>4,5 мг / 5 мл</w:t>
            </w:r>
          </w:p>
          <w:p>
            <w:pPr>
              <w:spacing w:after="0"/>
              <w:jc w:val="center"/>
            </w:pPr>
            <w:r>
              <w:rPr>
                <w:sz w:val="16"/>
              </w:rPr>
              <w:t>кодеина фосфата</w:t>
            </w:r>
          </w:p>
        </w:tc>
        <w:tc>
          <w:tcPr>
            <w:tcW w:type="dxa" w:w="3197"/>
            <w:shd w:fill="EAF1F6"/>
            <w:tcMar>
              <w:top w:w="130" w:type="dxa"/>
              <w:start w:w="100" w:type="dxa"/>
              <w:bottom w:w="12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2F6488"/>
                <w:sz w:val="30"/>
              </w:rPr>
              <w:t>2+ года</w:t>
            </w:r>
          </w:p>
          <w:p>
            <w:pPr>
              <w:spacing w:after="0"/>
              <w:jc w:val="center"/>
            </w:pPr>
            <w:r>
              <w:rPr>
                <w:sz w:val="16"/>
              </w:rPr>
              <w:t>возраст по инструкции</w:t>
            </w:r>
          </w:p>
        </w:tc>
        <w:tc>
          <w:tcPr>
            <w:tcW w:type="dxa" w:w="3197"/>
            <w:shd w:fill="F8E9E9"/>
            <w:tcMar>
              <w:top w:w="130" w:type="dxa"/>
              <w:start w:w="100" w:type="dxa"/>
              <w:bottom w:w="12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6E1A20"/>
                <w:sz w:val="30"/>
              </w:rPr>
              <w:t>«Без рецепта»</w:t>
            </w:r>
          </w:p>
          <w:p>
            <w:pPr>
              <w:spacing w:after="0"/>
              <w:jc w:val="center"/>
            </w:pPr>
            <w:r>
              <w:rPr>
                <w:sz w:val="16"/>
              </w:rPr>
              <w:t>условие отпуска</w:t>
            </w:r>
          </w:p>
        </w:tc>
      </w:tr>
    </w:tbl>
    <w:p>
      <w:pPr>
        <w:pStyle w:val="Kicker"/>
      </w:pPr>
      <w:r>
        <w:t>Фактографическая статья с морально-профессиональной оценкой • 2003–2013</w:t>
      </w:r>
    </w:p>
    <w:p>
      <w:pPr>
        <w:pStyle w:val="Small"/>
      </w:pPr>
      <w:r>
        <w:t>Подготовлено для публикации на современном сайте. В конце: реестр источников, полноразмерные сканы инструкции, корпоративные страницы и веб-ассеты с контрольными суммами.</w:t>
      </w:r>
    </w:p>
    <w:p>
      <w:r>
        <w:br w:type="page"/>
      </w:r>
    </w:p>
    <w:p>
      <w:pPr>
        <w:pStyle w:val="Kicker"/>
      </w:pPr>
      <w:r>
        <w:t>ФАКТОГРАФИЧЕСКАЯ ОСНОВА</w:t>
      </w:r>
    </w:p>
    <w:p>
      <w:pPr>
        <w:pStyle w:val="Heading1"/>
      </w:pPr>
      <w:r>
        <w:t>Люди, компания, препарат и реклама в одной документальной цепочке</w:t>
      </w:r>
    </w:p>
    <w:p>
      <w:pPr>
        <w:pStyle w:val="Deck"/>
      </w:pPr>
      <w:r>
        <w:t>Имена приводятся вместе с датами должностей, образованием, прежними местами работы и корпоративными документами.</w:t>
      </w:r>
    </w:p>
    <w:p>
      <w:r>
        <w:t>Отчет объединяет сведения проспекта IPO 2007 года, годовых отчетов «Фармстандарта», официальной инструкции ГРЛС, нормативных актов, архивных телевизионных записей, научных публикаций и биографических материалов Forbes, The Guardian и Fordham University.</w:t>
      </w:r>
    </w:p>
    <w:p>
      <w:r>
        <w:t>Корпоративные роли изложены по датам: бенефициарное владение через Augment, состав совета директоров и высшего менеджмента, руководство продажами и маркетингом, медицинская функция, регуляторный отдел и руководство предприятия-изготовителя.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9E242B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F8E9E9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Предмет отчета</w:t>
            </w:r>
          </w:p>
          <w:p>
            <w:r>
              <w:t>Codelac Phyto Р N002419/01: кодеина фосфат 4,5 мг на 5 мл, применение у детей старше двух лет, отпуск без рецепта, телевизионное продвижение и коммерческая история бренда «Коделак» в период формирования и IPO группы «Фармстандарт».</w:t>
            </w:r>
          </w:p>
        </w:tc>
      </w:tr>
    </w:tbl>
    <w:p>
      <w:pPr>
        <w:spacing w:after="20"/>
      </w:pPr>
    </w:p>
    <w:p>
      <w:pPr>
        <w:pStyle w:val="Heading2"/>
      </w:pPr>
      <w:r>
        <w:t>Краткий вывод</w:t>
      </w:r>
    </w:p>
    <w:p>
      <w:pPr>
        <w:pStyle w:val="ListBullet"/>
        <w:spacing w:after="80"/>
      </w:pPr>
      <w:r>
        <w:t>Официальная инструкция Р N002419/01-130808 называет «Коделак Фито» комбинированным препаратом с опиоидным противокашлевым компонентом, содержит 4,5 мг кодеина фосфата на 5 мл, допускает применение старше двух лет и указывает отпуск без рецепта.</w:t>
      </w:r>
    </w:p>
    <w:p>
      <w:pPr>
        <w:pStyle w:val="ListBullet"/>
        <w:spacing w:after="80"/>
      </w:pPr>
      <w:r>
        <w:t>В двух проверенных эфирных копиях 2005 года звучит формула «сироп для детей от двух лет». Реклама объединяет в одном сообщении таблетки для взрослых и жидкую форму для детей.</w:t>
      </w:r>
    </w:p>
    <w:p>
      <w:pPr>
        <w:pStyle w:val="ListBullet"/>
        <w:spacing w:after="80"/>
      </w:pPr>
      <w:r>
        <w:t>Производителем в инструкции названо ОАО «Фармстандарт-Лексредства» в Курске. Корпоративный проспект ОАО «Фармстандарт» сообщает о запуске Codelac Phyto для лечения симптомов кашля у детей и о рекламной кампании Codelac.</w:t>
      </w:r>
    </w:p>
    <w:p>
      <w:pPr>
        <w:pStyle w:val="ListBullet"/>
        <w:spacing w:after="80"/>
      </w:pPr>
      <w:r>
        <w:t>На момент IPO 2007 года проспект раскрыл бенефициарное владение акциями «Фармстандарта» через Augment: Виктор Харитонин — 49%, Егор Кульков — 21%, Роман Абрамович — 17%, Евгений Швидлер — 6%, прочие — 7%.</w:t>
      </w:r>
    </w:p>
    <w:p>
      <w:pPr>
        <w:pStyle w:val="ListBullet"/>
        <w:spacing w:after="80"/>
      </w:pPr>
      <w:r>
        <w:t>Виктор Харитонин был председателем совета директоров с мая 2006 года. Проспект раскрыл Романа Абрамовича и Евгения Швидлера как прямых владельцев акций Augment с косвенным бенефициарным интересом в эмитенте.</w:t>
      </w:r>
    </w:p>
    <w:p>
      <w:pPr>
        <w:pStyle w:val="ListBullet"/>
        <w:spacing w:after="80"/>
      </w:pPr>
      <w:r>
        <w:t>Генеральный директор Игорь Крылов окончил Военно-медицинскую академию имени С. М. Кирова по специальности «лечебное дело». Руководитель продаж и маркетинга Ольга Медникова окончила Самарский медицинский институт по специальности «лечебное дело» и получила степень кандидата медицинских наук. Александр Обухов указан официальным сайтом компании как Medical Director в 2011–2012 годах.</w:t>
      </w:r>
    </w:p>
    <w:p>
      <w:pPr>
        <w:pStyle w:val="Heading2"/>
      </w:pPr>
      <w:r>
        <w:t>Карта документа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224"/>
        <w:gridCol w:w="7848"/>
      </w:tblGrid>
      <w:tr>
        <w:trPr>
          <w:tblHeader w:val="true"/>
        </w:trPr>
        <w:tc>
          <w:tcPr>
            <w:tcW w:type="dxa" w:w="4795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4795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122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1–3</w:t>
            </w:r>
          </w:p>
        </w:tc>
        <w:tc>
          <w:tcPr>
            <w:tcW w:type="dxa" w:w="784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Компания-производитель, собственники, совет и менеджмент.</w:t>
            </w:r>
          </w:p>
        </w:tc>
      </w:tr>
      <w:tr>
        <w:trPr>
          <w:cantSplit/>
        </w:trPr>
        <w:tc>
          <w:tcPr>
            <w:tcW w:type="dxa" w:w="122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4–5</w:t>
            </w:r>
          </w:p>
        </w:tc>
        <w:tc>
          <w:tcPr>
            <w:tcW w:type="dxa" w:w="784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Инструкция, детская доза, кодеин, отпуск и риски.</w:t>
            </w:r>
          </w:p>
        </w:tc>
      </w:tr>
      <w:tr>
        <w:trPr>
          <w:cantSplit/>
        </w:trPr>
        <w:tc>
          <w:tcPr>
            <w:tcW w:type="dxa" w:w="122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6</w:t>
            </w:r>
          </w:p>
        </w:tc>
        <w:tc>
          <w:tcPr>
            <w:tcW w:type="dxa" w:w="784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Телевизионная реклама и доказательная цепочка Р/У № 002419/01.</w:t>
            </w:r>
          </w:p>
        </w:tc>
      </w:tr>
      <w:tr>
        <w:trPr>
          <w:cantSplit/>
        </w:trPr>
        <w:tc>
          <w:tcPr>
            <w:tcW w:type="dxa" w:w="122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7–8</w:t>
            </w:r>
          </w:p>
        </w:tc>
        <w:tc>
          <w:tcPr>
            <w:tcW w:type="dxa" w:w="784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Правовой режим рекламы, OTC/Rx и бизнес-экономика.</w:t>
            </w:r>
          </w:p>
        </w:tc>
      </w:tr>
      <w:tr>
        <w:trPr>
          <w:cantSplit/>
        </w:trPr>
        <w:tc>
          <w:tcPr>
            <w:tcW w:type="dxa" w:w="122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9</w:t>
            </w:r>
          </w:p>
        </w:tc>
        <w:tc>
          <w:tcPr>
            <w:tcW w:type="dxa" w:w="784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Мировая практика применения кодеина у детей в 2000–2013 годах.</w:t>
            </w:r>
          </w:p>
        </w:tc>
      </w:tr>
      <w:tr>
        <w:trPr>
          <w:cantSplit/>
        </w:trPr>
        <w:tc>
          <w:tcPr>
            <w:tcW w:type="dxa" w:w="122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784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Сводная хронология продукта, людей, рекламы, права и продаж.</w:t>
            </w:r>
          </w:p>
        </w:tc>
      </w:tr>
      <w:tr>
        <w:trPr>
          <w:cantSplit/>
        </w:trPr>
        <w:tc>
          <w:tcPr>
            <w:tcW w:type="dxa" w:w="122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11</w:t>
            </w:r>
          </w:p>
        </w:tc>
        <w:tc>
          <w:tcPr>
            <w:tcW w:type="dxa" w:w="784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Морально-профессиональная оценка действий и бездействий руководителей компании и государственных органов.</w:t>
            </w:r>
          </w:p>
        </w:tc>
      </w:tr>
      <w:tr>
        <w:trPr>
          <w:cantSplit/>
        </w:trPr>
        <w:tc>
          <w:tcPr>
            <w:tcW w:type="dxa" w:w="122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12</w:t>
            </w:r>
          </w:p>
        </w:tc>
        <w:tc>
          <w:tcPr>
            <w:tcW w:type="dxa" w:w="784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Реестр источников с кликабельными ссылками.</w:t>
            </w:r>
          </w:p>
        </w:tc>
      </w:tr>
      <w:tr>
        <w:trPr>
          <w:cantSplit/>
        </w:trPr>
        <w:tc>
          <w:tcPr>
            <w:tcW w:type="dxa" w:w="122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Приложения</w:t>
            </w:r>
          </w:p>
        </w:tc>
        <w:tc>
          <w:tcPr>
            <w:tcW w:type="dxa" w:w="784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8"/>
              </w:rPr>
              <w:t>Официальные сканы ГРЛС, страницы проспекта и веб-версии кадров.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01 / КОРПОРАТИВНАЯ КАРТА</w:t>
      </w:r>
    </w:p>
    <w:p>
      <w:pPr>
        <w:pStyle w:val="Heading1"/>
      </w:pPr>
      <w:r>
        <w:t>Кто именно произвел, продвигал и продавал продукт</w:t>
      </w:r>
    </w:p>
    <w:p>
      <w:pPr>
        <w:pStyle w:val="Deck"/>
      </w:pPr>
      <w:r>
        <w:t>Одно слово «Фармстандарт» скрывает разные юридические лица и разные функции.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44"/>
        <w:gridCol w:w="3744"/>
        <w:gridCol w:w="3384"/>
      </w:tblGrid>
      <w:tr>
        <w:trPr>
          <w:tblHeader w:val="true"/>
        </w:trPr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Уровень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Документированная роль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Установленный факт / функция</w:t>
            </w:r>
          </w:p>
        </w:tc>
      </w:tr>
      <w:tr>
        <w:trPr>
          <w:cantSplit/>
        </w:trPr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ОАО «Фармстандарт-Лексредства»</w:t>
            </w:r>
          </w:p>
        </w:tc>
        <w:tc>
          <w:tcPr>
            <w:tcW w:type="dxa" w:w="37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Производитель и организация, принимающая претензии, по инструкции 2008 года; адрес: Курск, ул. 2-я Агрегатная, 1а/18.</w:t>
            </w:r>
          </w:p>
        </w:tc>
        <w:tc>
          <w:tcPr>
            <w:tcW w:type="dxa" w:w="33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Именно это юридическое лицо изготовляло указанную в инструкции форму.</w:t>
            </w:r>
          </w:p>
        </w:tc>
      </w:tr>
      <w:tr>
        <w:trPr>
          <w:cantSplit/>
        </w:trPr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ОАО «Фармстандарт»</w:t>
            </w:r>
          </w:p>
        </w:tc>
        <w:tc>
          <w:tcPr>
            <w:tcW w:type="dxa" w:w="37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Головная компания группы, раскрывавшая ассортимент, продажи, рекламу, совет директоров и менеджмент.</w:t>
            </w:r>
          </w:p>
        </w:tc>
        <w:tc>
          <w:tcPr>
            <w:tcW w:type="dxa" w:w="33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Корпоративная стратегия и маркетинговая функция относятся к группе/эмитенту.</w:t>
            </w:r>
          </w:p>
        </w:tc>
      </w:tr>
      <w:tr>
        <w:trPr>
          <w:cantSplit/>
        </w:trPr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Augment Investments Limited</w:t>
            </w:r>
          </w:p>
        </w:tc>
        <w:tc>
          <w:tcPr>
            <w:tcW w:type="dxa" w:w="37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Кипрская компания, владевшая 99,9% акций до IPO и выступавшая продающим акционером.</w:t>
            </w:r>
          </w:p>
        </w:tc>
        <w:tc>
          <w:tcPr>
            <w:tcW w:type="dxa" w:w="33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Через нее проспект раскрыл косвенное бенефициарное владение акциями эмитента.</w:t>
            </w:r>
          </w:p>
        </w:tc>
      </w:tr>
      <w:tr>
        <w:trPr>
          <w:cantSplit/>
        </w:trPr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Рекламные распространители и архивы</w:t>
            </w:r>
          </w:p>
        </w:tc>
        <w:tc>
          <w:tcPr>
            <w:tcW w:type="dxa" w:w="37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Телеканалы и рекламные блоки; проверенные копии хранятся в публичном видеоархиве Staroetv.</w:t>
            </w:r>
          </w:p>
        </w:tc>
        <w:tc>
          <w:tcPr>
            <w:tcW w:type="dxa" w:w="33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Архивные копии содержат декодируемые видео и звук.</w:t>
            </w:r>
          </w:p>
        </w:tc>
      </w:tr>
      <w:tr>
        <w:trPr>
          <w:cantSplit/>
        </w:trPr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Государственный регулятор</w:t>
            </w:r>
          </w:p>
        </w:tc>
        <w:tc>
          <w:tcPr>
            <w:tcW w:type="dxa" w:w="37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Регистрация, утверждение инструкции, перечень безрецептурных препаратов, правила оборота и рекламы.</w:t>
            </w:r>
          </w:p>
        </w:tc>
        <w:tc>
          <w:tcPr>
            <w:tcW w:type="dxa" w:w="33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Регистрационная допустимость и рекламная допустимость — разные юридические вопросы.</w:t>
            </w:r>
          </w:p>
        </w:tc>
      </w:tr>
    </w:tbl>
    <w:p>
      <w:pPr>
        <w:spacing w:after="20"/>
      </w:pPr>
    </w:p>
    <w:p>
      <w:r>
        <w:t>В инструкции изготовителем указано ОАО «Фармстандарт-Лексредства». Проспект 2007 года раскрывает бренд Codelac, продажи и маркетинг на уровне ОАО «Фармстандарт».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780062"/>
            <wp:docPr id="2" name="instruction_otc_manufacturer_crop" descr="Official Russian instruction crop showing nonprescription status and manufacturer Pharmstandard-Leksredstv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_otc_manufacturer_cro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780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Официальная инструкция: фасовки 50/100/125 мл, условие отпуска «Без рецепта» и изготовитель ОАО «Фармстандарт-Лексредства». Источник: ГРЛС Минздрава России, редакция Р N002419/01-130808.</w:t>
      </w:r>
    </w:p>
    <w:p>
      <w:pPr>
        <w:pStyle w:val="Heading2"/>
      </w:pPr>
      <w:r>
        <w:t>Как возникла группа</w:t>
      </w:r>
    </w:p>
    <w:p>
      <w:r>
        <w:t>В проспекте 2007 года группа пишет, что ее нынешняя форма была запущена в конце 2003 года после приобретения российских активов ICN Pharmaceuticals. Там же говорится, что в начале 2004 года новая команда внедрила централизованные продажи и «western-style sales and marketing techniques», а в 2005 году разделила продажи на OTC- и рецептурное направления. Это собственное описание компании связывает корпоративную перестройку, активное продвижение брендов и запуск жидкого Codelac в один период.</w:t>
      </w:r>
    </w:p>
    <w:p>
      <w:r>
        <w:t>Цена продажи российского фармацевтического сегмента ICN в июне 2003 года — 55 млн долларов денежными средствами — отражена в отчетности продавца. Современные событию сообщения называли покупателем Millhouse; официальный проспект «Фармстандарта» затем раскрыл структуру бенефициарного владения акциями эмитента через Augment и состав совета.</w:t>
      </w:r>
    </w:p>
    <w:p>
      <w:r>
        <w:br w:type="page"/>
      </w:r>
    </w:p>
    <w:p>
      <w:pPr>
        <w:pStyle w:val="Kicker"/>
      </w:pPr>
      <w:r>
        <w:t>02 / ВЛАДЕНИЕ И УПРАВЛЕНИЕ</w:t>
      </w:r>
    </w:p>
    <w:p>
      <w:pPr>
        <w:pStyle w:val="Heading1"/>
      </w:pPr>
      <w:r>
        <w:t>Персональная матрица: доля, должность, образование и прежняя карьера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224"/>
        <w:gridCol w:w="1944"/>
        <w:gridCol w:w="2088"/>
        <w:gridCol w:w="2520"/>
        <w:gridCol w:w="1296"/>
      </w:tblGrid>
      <w:tr>
        <w:trPr>
          <w:tblHeader w:val="true"/>
        </w:trPr>
        <w:tc>
          <w:tcPr>
            <w:tcW w:type="dxa" w:w="1918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Лицо</w:t>
            </w:r>
          </w:p>
        </w:tc>
        <w:tc>
          <w:tcPr>
            <w:tcW w:type="dxa" w:w="1918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Образование</w:t>
            </w:r>
          </w:p>
        </w:tc>
        <w:tc>
          <w:tcPr>
            <w:tcW w:type="dxa" w:w="1918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Прежняя карьера</w:t>
            </w:r>
          </w:p>
        </w:tc>
        <w:tc>
          <w:tcPr>
            <w:tcW w:type="dxa" w:w="1918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Роль в «Фармстандарте» / Augment</w:t>
            </w:r>
          </w:p>
        </w:tc>
        <w:tc>
          <w:tcPr>
            <w:tcW w:type="dxa" w:w="1918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Период</w:t>
            </w:r>
          </w:p>
        </w:tc>
      </w:tr>
      <w:tr>
        <w:trPr>
          <w:cantSplit/>
        </w:trPr>
        <w:tc>
          <w:tcPr>
            <w:tcW w:type="dxa" w:w="122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Виктор Харитонин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Механико-математический факультет НГУ, 1994.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Фирма «Кредитинформ»; гендиректор Profit House в 1997–2003.</w:t>
            </w:r>
          </w:p>
        </w:tc>
        <w:tc>
          <w:tcPr>
            <w:tcW w:type="dxa" w:w="25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49% бенефициарного владения акциями эмитента до IPO через Augment; председатель совета с мая 2006; executive director.</w:t>
            </w:r>
          </w:p>
        </w:tc>
        <w:tc>
          <w:tcPr>
            <w:tcW w:type="dxa" w:w="129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2003–2013</w:t>
            </w:r>
          </w:p>
        </w:tc>
      </w:tr>
      <w:tr>
        <w:trPr>
          <w:cantSplit/>
        </w:trPr>
        <w:tc>
          <w:tcPr>
            <w:tcW w:type="dxa" w:w="122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Роман Абрамович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Высшее юридическое образование, заочное отделение Московской государственной юридической академии, май 2001.</w:t>
            </w:r>
          </w:p>
        </w:tc>
        <w:tc>
          <w:tcPr>
            <w:tcW w:type="dxa" w:w="208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Механик СУ-122; кооператив «Уют»; Runicom; «Сибнефть»; губернатор Чукотки.</w:t>
            </w:r>
          </w:p>
        </w:tc>
        <w:tc>
          <w:tcPr>
            <w:tcW w:type="dxa" w:w="25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Прямой акционер Augment; 17% бенефициарного владения акциями эмитента до IPO.</w:t>
            </w:r>
          </w:p>
        </w:tc>
        <w:tc>
          <w:tcPr>
            <w:tcW w:type="dxa" w:w="129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2003–2008</w:t>
            </w:r>
          </w:p>
        </w:tc>
      </w:tr>
      <w:tr>
        <w:trPr>
          <w:cantSplit/>
        </w:trPr>
        <w:tc>
          <w:tcPr>
            <w:tcW w:type="dxa" w:w="122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Евгений Швидлер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Прикладная математика, Московский институт нефти и газа, 1986; MBA и MS International Taxation, Fordham, 1992.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Нефтяной НИИ; Deloitte &amp; Touche; президент «Сибнефти»; председатель Millhouse.</w:t>
            </w:r>
          </w:p>
        </w:tc>
        <w:tc>
          <w:tcPr>
            <w:tcW w:type="dxa" w:w="25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Прямой акционер Augment; 6% бенефициарного владения акциями эмитента до IPO.</w:t>
            </w:r>
          </w:p>
        </w:tc>
        <w:tc>
          <w:tcPr>
            <w:tcW w:type="dxa" w:w="129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2003–2008</w:t>
            </w:r>
          </w:p>
        </w:tc>
      </w:tr>
      <w:tr>
        <w:trPr>
          <w:cantSplit/>
        </w:trPr>
        <w:tc>
          <w:tcPr>
            <w:tcW w:type="dxa" w:w="122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Егор Кульков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Механико-математический факультет Новосибирского государственного университета.</w:t>
            </w:r>
          </w:p>
        </w:tc>
        <w:tc>
          <w:tcPr>
            <w:tcW w:type="dxa" w:w="208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Аресбанк; гендиректор Gloverton и Mellot Intertrade; «Вита Риэлт».</w:t>
            </w:r>
          </w:p>
        </w:tc>
        <w:tc>
          <w:tcPr>
            <w:tcW w:type="dxa" w:w="25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21% бенефициарного владения акциями эмитента до IPO через Augment; член совета с мая 2006.</w:t>
            </w:r>
          </w:p>
        </w:tc>
        <w:tc>
          <w:tcPr>
            <w:tcW w:type="dxa" w:w="129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2003–2013</w:t>
            </w:r>
          </w:p>
        </w:tc>
      </w:tr>
    </w:tbl>
    <w:p>
      <w:pPr>
        <w:spacing w:after="20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281916"/>
            <wp:docPr id="3" name="prospectus_ownership_beneficiaries_crop" descr="Pharmstandard 2007 prospectus beneficial ownership tabl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_ownership_beneficiaries_cro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281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Проспект 2007 года: бенефициарное владение акциями «Фармстандарта» через Augment — Харитонин 49%, Кульков 21%, Абрамович 17%, Швидлер 6%, прочие 7%. Полная страница приведена в приложении.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9E242B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F8E9E9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Документированный профиль образования</w:t>
            </w:r>
          </w:p>
          <w:p>
            <w:r>
              <w:t>У раскрытых бенефициаров указаны математическое образование — Виктор Харитонин и Егор Кульков, юридическое — Роман Абрамович, прикладная математика, MBA и международное налогообложение — Евгений Швидлер. Медицинское образование в исполнительной команде раскрыто у Игоря Крылова, Ольги Медниковой, Сергея Пыльцына и Ольги Лещанской.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03 / ЛИЦА</w:t>
      </w:r>
    </w:p>
    <w:p>
      <w:pPr>
        <w:pStyle w:val="Heading1"/>
      </w:pPr>
      <w:r>
        <w:t>Владельцы и руководители: биографические профили</w:t>
      </w:r>
    </w:p>
    <w:p>
      <w:pPr>
        <w:pStyle w:val="Deck"/>
      </w:pPr>
      <w:r>
        <w:t>Образование и прежние места работы сопоставлены с датированными корпоративными ролями.</w:t>
      </w:r>
    </w:p>
    <w:p>
      <w:pPr>
        <w:pStyle w:val="PersonName"/>
      </w:pPr>
      <w:r>
        <w:t>Виктор Харитонин</w:t>
      </w:r>
    </w:p>
    <w:p>
      <w:pPr>
        <w:pStyle w:val="PersonRole"/>
      </w:pPr>
      <w:r>
        <w:t>Крупнейший раскрытый бенефициар «Фармстандарта» через Augment • председатель совета директоров с мая 2006</w:t>
      </w:r>
    </w:p>
    <w:p>
      <w:pPr>
        <w:pStyle w:val="ListBullet"/>
        <w:spacing w:after="80"/>
      </w:pPr>
      <w:r>
        <w:t>Родился 20 ноября 1972 года в Петропавловске Казахской ССР; в 1994 году окончил механико-математический факультет Новосибирского государственного университета.</w:t>
      </w:r>
    </w:p>
    <w:p>
      <w:pPr>
        <w:pStyle w:val="ListBullet"/>
        <w:spacing w:after="80"/>
      </w:pPr>
      <w:r>
        <w:t>В 1993 году открыл торгово-посредническую фирму «Кредитинформ».</w:t>
      </w:r>
    </w:p>
    <w:p>
      <w:pPr>
        <w:pStyle w:val="ListBullet"/>
        <w:spacing w:after="80"/>
      </w:pPr>
      <w:r>
        <w:t>В 1997–2003 годах был генеральным директором Profit House.</w:t>
      </w:r>
    </w:p>
    <w:p>
      <w:pPr>
        <w:pStyle w:val="ListBullet"/>
        <w:spacing w:after="80"/>
      </w:pPr>
      <w:r>
        <w:t>Проспект 2007 года относит к нему 49% бенефициарного владения акциями «Фармстандарта» до размещения через права в Augment.</w:t>
      </w:r>
    </w:p>
    <w:p>
      <w:pPr>
        <w:pStyle w:val="ListBullet"/>
        <w:spacing w:after="80"/>
      </w:pPr>
      <w:r>
        <w:t>В том же проспекте он назван председателем и членом совета директоров, а также исполнительным директором ООО «Фармстандарт».</w:t>
      </w:r>
    </w:p>
    <w:p>
      <w:pPr>
        <w:pStyle w:val="ListBullet"/>
        <w:spacing w:after="80"/>
      </w:pPr>
      <w:r>
        <w:t>Председательство началось в мае 2006 года — до телевизионных роликов ноября 2006 и 2007 года и до IPO 2007 года.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2F6488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EAF1F6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Образование</w:t>
            </w:r>
          </w:p>
          <w:p>
            <w:r>
              <w:t>Механико-математический факультет Новосибирского государственного университета, 1994.</w:t>
            </w:r>
          </w:p>
        </w:tc>
      </w:tr>
    </w:tbl>
    <w:p>
      <w:pPr>
        <w:spacing w:after="20"/>
      </w:pPr>
    </w:p>
    <w:p>
      <w:pPr>
        <w:pStyle w:val="Small"/>
      </w:pPr>
      <w:r>
        <w:rPr>
          <w:b/>
        </w:rPr>
        <w:t xml:space="preserve">Источник роли: </w:t>
      </w:r>
      <w:hyperlink r:id="rId14">
        <w:r>
          <w:rPr>
            <w:color w:val="2F6488"/>
            <w:u w:val="single"/>
          </w:rPr>
          <w:t>проспект / корпоративное раскрытие</w:t>
        </w:r>
      </w:hyperlink>
    </w:p>
    <w:p>
      <w:pPr>
        <w:pStyle w:val="PersonName"/>
      </w:pPr>
      <w:r>
        <w:t>Роман Абрамович</w:t>
      </w:r>
    </w:p>
    <w:p>
      <w:pPr>
        <w:pStyle w:val="PersonRole"/>
      </w:pPr>
      <w:r>
        <w:t>17% бенефициарного владения акциями «Фармстандарта» через Augment до IPO</w:t>
      </w:r>
    </w:p>
    <w:p>
      <w:pPr>
        <w:pStyle w:val="ListBullet"/>
        <w:spacing w:after="80"/>
      </w:pPr>
      <w:r>
        <w:t>Родился 24 октября 1966 года в Саратове.</w:t>
      </w:r>
    </w:p>
    <w:p>
      <w:pPr>
        <w:pStyle w:val="ListBullet"/>
        <w:spacing w:after="80"/>
      </w:pPr>
      <w:r>
        <w:t>Учился в Ухтинском индустриальном институте; в мае 2001 года окончил заочное отделение Московской государственной юридической академии.</w:t>
      </w:r>
    </w:p>
    <w:p>
      <w:pPr>
        <w:pStyle w:val="ListBullet"/>
        <w:spacing w:after="80"/>
      </w:pPr>
      <w:r>
        <w:t>В 1987 году работал механиком СУ-122 треста «Мосспецмонтаж»; в 1989–1991 годах был представителем кооператива «Уют», затем создавал нефтетрейдинговые структуры, включая Runicom.</w:t>
      </w:r>
    </w:p>
    <w:p>
      <w:pPr>
        <w:pStyle w:val="ListBullet"/>
        <w:spacing w:after="80"/>
      </w:pPr>
      <w:r>
        <w:t>В 1990-е годы стал совладельцем «Сибнефти»; в 2000–2008 годах занимал должность губернатора Чукотского автономного округа.</w:t>
      </w:r>
    </w:p>
    <w:p>
      <w:pPr>
        <w:pStyle w:val="ListBullet"/>
        <w:spacing w:after="80"/>
      </w:pPr>
      <w:r>
        <w:t>Проспект 2007 года говорит, что Абрамович напрямую владел акциями Augment; соответствующий косвенный бенефициарный интерес в акциях «Фармстандарта» до IPO — 17%.</w:t>
      </w:r>
    </w:p>
    <w:p>
      <w:pPr>
        <w:pStyle w:val="ListBullet"/>
        <w:spacing w:after="80"/>
      </w:pPr>
      <w:r>
        <w:t>Официальный релиз «Фармстандарта» от 27 марта 2008 года сообщает, что доля, ранее контролировавшаяся Абрамовичем, Швидлером и структурами менеджмента Millhouse, перешла структурам Харитонина и Кулькова.</w:t>
      </w:r>
    </w:p>
    <w:p>
      <w:pPr>
        <w:pStyle w:val="ListBullet"/>
        <w:spacing w:after="80"/>
      </w:pPr>
      <w:r>
        <w:t>IPO было вторичной продажей существующих акций Augment, а не выпуском новых акций в пользу эмитента.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2F6488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EAF1F6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Образование</w:t>
            </w:r>
          </w:p>
          <w:p>
            <w:r>
              <w:t>Высшее юридическое образование, заочное отделение Московской государственной юридической академии, май 2001.</w:t>
            </w:r>
          </w:p>
        </w:tc>
      </w:tr>
    </w:tbl>
    <w:p>
      <w:pPr>
        <w:spacing w:after="20"/>
      </w:pPr>
    </w:p>
    <w:p>
      <w:pPr>
        <w:pStyle w:val="Small"/>
      </w:pPr>
      <w:r>
        <w:rPr>
          <w:b/>
        </w:rPr>
        <w:t xml:space="preserve">Источник роли: </w:t>
      </w:r>
      <w:hyperlink r:id="rId15">
        <w:r>
          <w:rPr>
            <w:color w:val="2F6488"/>
            <w:u w:val="single"/>
          </w:rPr>
          <w:t>проспект / корпоративное раскрытие</w:t>
        </w:r>
      </w:hyperlink>
    </w:p>
    <w:p>
      <w:pPr>
        <w:pStyle w:val="PersonName"/>
      </w:pPr>
      <w:r>
        <w:t>Евгений Швидлер</w:t>
      </w:r>
    </w:p>
    <w:p>
      <w:pPr>
        <w:pStyle w:val="PersonRole"/>
      </w:pPr>
      <w:r>
        <w:t>6% бенефициарного владения акциями «Фармстандарта» через Augment до IPO • председатель Millhouse</w:t>
      </w:r>
    </w:p>
    <w:p>
      <w:pPr>
        <w:pStyle w:val="ListBullet"/>
        <w:spacing w:after="80"/>
      </w:pPr>
      <w:r>
        <w:t>Родился 23 марта 1964 года в Уфе.</w:t>
      </w:r>
    </w:p>
    <w:p>
      <w:pPr>
        <w:pStyle w:val="ListBullet"/>
        <w:spacing w:after="80"/>
      </w:pPr>
      <w:r>
        <w:t>В 1986 году окончил Московский институт нефти и газа по прикладной математике, затем работал в нефтяном научно-исследовательском институте.</w:t>
      </w:r>
    </w:p>
    <w:p>
      <w:pPr>
        <w:pStyle w:val="ListBullet"/>
        <w:spacing w:after="80"/>
      </w:pPr>
      <w:r>
        <w:t>В 1992–1994 годах работал в международной налоговой группе Deloitte &amp; Touche в Нью-Йорке.</w:t>
      </w:r>
    </w:p>
    <w:p>
      <w:pPr>
        <w:pStyle w:val="ListBullet"/>
        <w:spacing w:after="80"/>
      </w:pPr>
      <w:r>
        <w:t>В 1996–2005 годах работал в «Сибнефти»; с 1998 года — президент компании. В 2003 году публично выступал как председатель Millhouse при объявлении покупки российских активов ICN.</w:t>
      </w:r>
    </w:p>
    <w:p>
      <w:pPr>
        <w:pStyle w:val="ListBullet"/>
        <w:spacing w:after="80"/>
      </w:pPr>
      <w:r>
        <w:t>Проспект раскрывает прямое владение акциями Augment и соответствующий 6%-ный косвенный интерес в акциях «Фармстандарта».</w:t>
      </w:r>
    </w:p>
    <w:p>
      <w:pPr>
        <w:pStyle w:val="ListBullet"/>
        <w:spacing w:after="80"/>
      </w:pPr>
      <w:r>
        <w:t>Официальный релиз 2008 года включает Швидлера в группу прежних контролирующих лиц 17%-ного пакета.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2F6488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EAF1F6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Образование</w:t>
            </w:r>
          </w:p>
          <w:p>
            <w:r>
              <w:t>Прикладная математика, Московский институт нефти и газа, 1986; MBA и MS in International Taxation, Fordham University, 1992.</w:t>
            </w:r>
          </w:p>
        </w:tc>
      </w:tr>
    </w:tbl>
    <w:p>
      <w:pPr>
        <w:spacing w:after="20"/>
      </w:pPr>
    </w:p>
    <w:p>
      <w:pPr>
        <w:pStyle w:val="Small"/>
      </w:pPr>
      <w:r>
        <w:rPr>
          <w:b/>
        </w:rPr>
        <w:t xml:space="preserve">Источник роли: </w:t>
      </w:r>
      <w:hyperlink r:id="rId16">
        <w:r>
          <w:rPr>
            <w:color w:val="2F6488"/>
            <w:u w:val="single"/>
          </w:rPr>
          <w:t>проспект / корпоративное раскрытие</w:t>
        </w:r>
      </w:hyperlink>
    </w:p>
    <w:p>
      <w:pPr>
        <w:pStyle w:val="PersonName"/>
      </w:pPr>
      <w:r>
        <w:t>Егор Кульков</w:t>
      </w:r>
    </w:p>
    <w:p>
      <w:pPr>
        <w:pStyle w:val="PersonRole"/>
      </w:pPr>
      <w:r>
        <w:t>21% бенефициарного владения через Augment до IPO • член совета директоров с мая 2006</w:t>
      </w:r>
    </w:p>
    <w:p>
      <w:pPr>
        <w:pStyle w:val="ListBullet"/>
        <w:spacing w:after="80"/>
      </w:pPr>
      <w:r>
        <w:t>Родился в декабре 1971 года и окончил механико-математический факультет Новосибирского государственного университета.</w:t>
      </w:r>
    </w:p>
    <w:p>
      <w:pPr>
        <w:pStyle w:val="ListBullet"/>
        <w:spacing w:after="80"/>
      </w:pPr>
      <w:r>
        <w:t>С 1999 по 2007 год возглавлял управление активно-пассивных операций Аресбанка.</w:t>
      </w:r>
    </w:p>
    <w:p>
      <w:pPr>
        <w:pStyle w:val="ListBullet"/>
        <w:spacing w:after="80"/>
      </w:pPr>
      <w:r>
        <w:t>На дату проспекта возглавлял операционный департамент коммерческого банка «Аресбанк» и был генеральным директором ООО Gloverton и Mellot Intertrade Corporation.</w:t>
      </w:r>
    </w:p>
    <w:p>
      <w:pPr>
        <w:pStyle w:val="ListBullet"/>
        <w:spacing w:after="80"/>
      </w:pPr>
      <w:r>
        <w:t>До IPO его бенефициарный интерес в акциях «Фармстандарта» через Augment составлял 21%.</w:t>
      </w:r>
    </w:p>
    <w:p>
      <w:pPr>
        <w:pStyle w:val="ListBullet"/>
        <w:spacing w:after="80"/>
      </w:pPr>
      <w:r>
        <w:t>С мая 2006 года входил в совет директоров ОАО «Фармстандарт».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2F6488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EAF1F6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Образование</w:t>
            </w:r>
          </w:p>
          <w:p>
            <w:r>
              <w:t>Механико-математический факультет Новосибирского государственного университета.</w:t>
            </w:r>
          </w:p>
        </w:tc>
      </w:tr>
    </w:tbl>
    <w:p>
      <w:pPr>
        <w:spacing w:after="20"/>
      </w:pPr>
    </w:p>
    <w:p>
      <w:pPr>
        <w:pStyle w:val="Small"/>
      </w:pPr>
      <w:r>
        <w:rPr>
          <w:b/>
        </w:rPr>
        <w:t xml:space="preserve">Источник роли: </w:t>
      </w:r>
      <w:hyperlink r:id="rId17">
        <w:r>
          <w:rPr>
            <w:color w:val="2F6488"/>
            <w:u w:val="single"/>
          </w:rPr>
          <w:t>проспект / корпоративное раскрытие</w:t>
        </w:r>
      </w:hyperlink>
    </w:p>
    <w:p>
      <w:r>
        <w:br w:type="page"/>
      </w:r>
    </w:p>
    <w:p>
      <w:pPr>
        <w:pStyle w:val="Kicker"/>
      </w:pPr>
      <w:r>
        <w:t>03 / СОВЕТ ДИРЕКТОРОВ</w:t>
      </w:r>
    </w:p>
    <w:p>
      <w:pPr>
        <w:pStyle w:val="Heading1"/>
      </w:pPr>
      <w:r>
        <w:t>Состав совета на дату проспекта IPO 2007 года</w:t>
      </w:r>
    </w:p>
    <w:p>
      <w:pPr>
        <w:pStyle w:val="Deck"/>
      </w:pPr>
      <w:r>
        <w:t>Проспект приводит биографии девяти директоров, их прежние должности и образование.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368"/>
        <w:gridCol w:w="1440"/>
        <w:gridCol w:w="4320"/>
        <w:gridCol w:w="1944"/>
      </w:tblGrid>
      <w:tr>
        <w:trPr>
          <w:tblHeader w:val="true"/>
        </w:trPr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Директор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В совете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Прежние и параллельные должности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Образование</w:t>
            </w:r>
          </w:p>
        </w:tc>
      </w:tr>
      <w:tr>
        <w:trPr>
          <w:cantSplit/>
        </w:trPr>
        <w:tc>
          <w:tcPr>
            <w:tcW w:type="dxa" w:w="136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Виктор Харитонин</w:t>
            </w:r>
          </w:p>
        </w:tc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Председатель с мая 2006</w:t>
            </w:r>
          </w:p>
        </w:tc>
        <w:tc>
          <w:tcPr>
            <w:tcW w:type="dxa" w:w="43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Гендиректор Profit House, 1997–2003; executive director ООО «Фармстандарт».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Новосибирский государственный университет.</w:t>
            </w:r>
          </w:p>
        </w:tc>
      </w:tr>
      <w:tr>
        <w:trPr>
          <w:cantSplit/>
        </w:trPr>
        <w:tc>
          <w:tcPr>
            <w:tcW w:type="dxa" w:w="136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Игорь Крылов</w:t>
            </w:r>
          </w:p>
        </w:tc>
        <w:tc>
          <w:tcPr>
            <w:tcW w:type="dxa" w:w="14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 мая 2006</w:t>
            </w:r>
          </w:p>
        </w:tc>
        <w:tc>
          <w:tcPr>
            <w:tcW w:type="dxa" w:w="43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Более 12 лет в фармацевтике; Eli Lilly и Aventis; CEO группы.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Военно-медицинская академия им. С. М. Кирова, с отличием.</w:t>
            </w:r>
          </w:p>
        </w:tc>
      </w:tr>
      <w:tr>
        <w:trPr>
          <w:cantSplit/>
        </w:trPr>
        <w:tc>
          <w:tcPr>
            <w:tcW w:type="dxa" w:w="136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Егор Кульков</w:t>
            </w:r>
          </w:p>
        </w:tc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 мая 2006</w:t>
            </w:r>
          </w:p>
        </w:tc>
        <w:tc>
          <w:tcPr>
            <w:tcW w:type="dxa" w:w="43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Высшие финансовые должности; Аресбанк; Gloverton; Mellot Intertrade.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Новосибирский государственный университет.</w:t>
            </w:r>
          </w:p>
        </w:tc>
      </w:tr>
      <w:tr>
        <w:trPr>
          <w:cantSplit/>
        </w:trPr>
        <w:tc>
          <w:tcPr>
            <w:tcW w:type="dxa" w:w="136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Павел Милейко</w:t>
            </w:r>
          </w:p>
        </w:tc>
        <w:tc>
          <w:tcPr>
            <w:tcW w:type="dxa" w:w="14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 мая 2006</w:t>
            </w:r>
          </w:p>
        </w:tc>
        <w:tc>
          <w:tcPr>
            <w:tcW w:type="dxa" w:w="43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Гендиректор «Макнетиктранс» до июня 2005; помощник executive director ООО «Фармстандарт» с января 2007.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Новосибирский государственный университет.</w:t>
            </w:r>
          </w:p>
        </w:tc>
      </w:tr>
      <w:tr>
        <w:trPr>
          <w:cantSplit/>
        </w:trPr>
        <w:tc>
          <w:tcPr>
            <w:tcW w:type="dxa" w:w="136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Ольга Покровская</w:t>
            </w:r>
          </w:p>
        </w:tc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 октября 2006</w:t>
            </w:r>
          </w:p>
        </w:tc>
        <w:tc>
          <w:tcPr>
            <w:tcW w:type="dxa" w:w="43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Head of Corporate Finance «Сибнефти», 1998–2006; Head of Corporate Finance Millhouse; директор Evraz Group.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Государственная финансовая академия; CPA.</w:t>
            </w:r>
          </w:p>
        </w:tc>
      </w:tr>
      <w:tr>
        <w:trPr>
          <w:cantSplit/>
        </w:trPr>
        <w:tc>
          <w:tcPr>
            <w:tcW w:type="dxa" w:w="136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Наталья Павлова</w:t>
            </w:r>
          </w:p>
        </w:tc>
        <w:tc>
          <w:tcPr>
            <w:tcW w:type="dxa" w:w="14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 октября 2006</w:t>
            </w:r>
          </w:p>
        </w:tc>
        <w:tc>
          <w:tcPr>
            <w:tcW w:type="dxa" w:w="43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Head of Issuer Services Registrator R.O.S.T.; с 2003 Millhouse, Head of Corporate Department.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Московский государственный университет.</w:t>
            </w:r>
          </w:p>
        </w:tc>
      </w:tr>
      <w:tr>
        <w:trPr>
          <w:cantSplit/>
        </w:trPr>
        <w:tc>
          <w:tcPr>
            <w:tcW w:type="dxa" w:w="136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Наталья Мамченко</w:t>
            </w:r>
          </w:p>
        </w:tc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 октября 2006</w:t>
            </w:r>
          </w:p>
        </w:tc>
        <w:tc>
          <w:tcPr>
            <w:tcW w:type="dxa" w:w="43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Финансовые должности в «Сибнефти», правительстве Чукотки и Millhouse; замглавы Finance and Budget Department Millhouse.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Государственная финансовая академия.</w:t>
            </w:r>
          </w:p>
        </w:tc>
      </w:tr>
      <w:tr>
        <w:trPr>
          <w:cantSplit/>
        </w:trPr>
        <w:tc>
          <w:tcPr>
            <w:tcW w:type="dxa" w:w="136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Александр Мельников</w:t>
            </w:r>
          </w:p>
        </w:tc>
        <w:tc>
          <w:tcPr>
            <w:tcW w:type="dxa" w:w="14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 октября 2006</w:t>
            </w:r>
          </w:p>
        </w:tc>
        <w:tc>
          <w:tcPr>
            <w:tcW w:type="dxa" w:w="43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Должности в «Сибнефти», 1999–2002; Head of Assets and Investment Department Millhouse с 2002.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Московский государственный технический университет.</w:t>
            </w:r>
          </w:p>
        </w:tc>
      </w:tr>
      <w:tr>
        <w:trPr>
          <w:cantSplit/>
        </w:trPr>
        <w:tc>
          <w:tcPr>
            <w:tcW w:type="dxa" w:w="136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Иван Тырышкин</w:t>
            </w:r>
          </w:p>
        </w:tc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Независимый, с октября 2006</w:t>
            </w:r>
          </w:p>
        </w:tc>
        <w:tc>
          <w:tcPr>
            <w:tcW w:type="dxa" w:w="43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Президент НП РТС, 2001–2003; президент «Русского зерна», 2003–2004; управляющий директор и гендиректор АТОН с 2006.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Российская экономическая академия.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03 / ВЫСШИЙ МЕНЕДЖМЕНТ</w:t>
      </w:r>
    </w:p>
    <w:p>
      <w:pPr>
        <w:pStyle w:val="Heading1"/>
      </w:pPr>
      <w:r>
        <w:t>Команда, раскрытая в проспекте 2007 года</w:t>
      </w:r>
    </w:p>
    <w:p>
      <w:pPr>
        <w:pStyle w:val="Deck"/>
      </w:pPr>
      <w:r>
        <w:t>Две медицинские биографии находились непосредственно в исполнительной и маркетинговой вертикали: Игорь Крылов и Ольга Медникова.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12"/>
        <w:gridCol w:w="1944"/>
        <w:gridCol w:w="3528"/>
        <w:gridCol w:w="2088"/>
      </w:tblGrid>
      <w:tr>
        <w:trPr>
          <w:tblHeader w:val="true"/>
        </w:trPr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Руководитель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Должность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Прежняя работа / опыт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Образование</w:t>
            </w:r>
          </w:p>
        </w:tc>
      </w:tr>
      <w:tr>
        <w:trPr>
          <w:cantSplit/>
        </w:trPr>
        <w:tc>
          <w:tcPr>
            <w:tcW w:type="dxa" w:w="15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Игорь Крылов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Chief Executive Officer</w:t>
            </w:r>
          </w:p>
        </w:tc>
        <w:tc>
          <w:tcPr>
            <w:tcW w:type="dxa" w:w="352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Военная служба до 1994; Eli Lilly, 1994–2002; Aventis, 2002–2003; CEO ICN, 2003–2004.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ВМА им. С. М. Кирова, «лечебное дело», 1987.</w:t>
            </w:r>
          </w:p>
        </w:tc>
      </w:tr>
      <w:tr>
        <w:trPr>
          <w:cantSplit/>
        </w:trPr>
        <w:tc>
          <w:tcPr>
            <w:tcW w:type="dxa" w:w="15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Елена Архангельская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Chief Financial Officer с 2003</w:t>
            </w:r>
          </w:p>
        </w:tc>
        <w:tc>
          <w:tcPr>
            <w:tcW w:type="dxa" w:w="352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10 лет в фармацевтике; руководящие должности в Eli Lilly.</w:t>
            </w:r>
          </w:p>
        </w:tc>
        <w:tc>
          <w:tcPr>
            <w:tcW w:type="dxa" w:w="208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Государственная финансовая академия; MBA American Institute of Business and Economics.</w:t>
            </w:r>
          </w:p>
        </w:tc>
      </w:tr>
      <w:tr>
        <w:trPr>
          <w:cantSplit/>
        </w:trPr>
        <w:tc>
          <w:tcPr>
            <w:tcW w:type="dxa" w:w="15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Ольга Медникова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Chief Sales &amp; Marketing Officer с 2004</w:t>
            </w:r>
          </w:p>
        </w:tc>
        <w:tc>
          <w:tcPr>
            <w:tcW w:type="dxa" w:w="352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12 лет в здравоохранении; маркетинг и продвижение в Glaxo Wellcome и IVAX.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Самарский мединститут, «лечебное дело», врач; к.м.н. с 1993.</w:t>
            </w:r>
          </w:p>
        </w:tc>
      </w:tr>
      <w:tr>
        <w:trPr>
          <w:cantSplit/>
        </w:trPr>
        <w:tc>
          <w:tcPr>
            <w:tcW w:type="dxa" w:w="15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Сергей Душелихинский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Chief Commercial Officer с 2005</w:t>
            </w:r>
          </w:p>
        </w:tc>
        <w:tc>
          <w:tcPr>
            <w:tcW w:type="dxa" w:w="352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10 лет продаж; 9 лет руководства; Veropharm и ФТК «Время».</w:t>
            </w:r>
          </w:p>
        </w:tc>
        <w:tc>
          <w:tcPr>
            <w:tcW w:type="dxa" w:w="208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Московский технический университет.</w:t>
            </w:r>
          </w:p>
        </w:tc>
      </w:tr>
      <w:tr>
        <w:trPr>
          <w:cantSplit/>
        </w:trPr>
        <w:tc>
          <w:tcPr>
            <w:tcW w:type="dxa" w:w="15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Сергей Пыльцын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Chief Human Resources Officer с 2003</w:t>
            </w:r>
          </w:p>
        </w:tc>
        <w:tc>
          <w:tcPr>
            <w:tcW w:type="dxa" w:w="352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9 лет в фармацевтике; руководящие должности Eli Lilly, 1997–2000.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Ростовский государственный медицинский университет.</w:t>
            </w:r>
          </w:p>
        </w:tc>
      </w:tr>
      <w:tr>
        <w:trPr>
          <w:cantSplit/>
        </w:trPr>
        <w:tc>
          <w:tcPr>
            <w:tcW w:type="dxa" w:w="15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Игорь Салистра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Chief Compliance &amp; Technical Development с 2005</w:t>
            </w:r>
          </w:p>
        </w:tc>
        <w:tc>
          <w:tcPr>
            <w:tcW w:type="dxa" w:w="352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13+ лет в здравоохранении; Alza / Johnson &amp; Johnson, 1993–2004.</w:t>
            </w:r>
          </w:p>
        </w:tc>
        <w:tc>
          <w:tcPr>
            <w:tcW w:type="dxa" w:w="208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Киевский политехнический университет.</w:t>
            </w:r>
          </w:p>
        </w:tc>
      </w:tr>
      <w:tr>
        <w:trPr>
          <w:cantSplit/>
        </w:trPr>
        <w:tc>
          <w:tcPr>
            <w:tcW w:type="dxa" w:w="15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Виктор Федлюк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Head of Legal Department с 2003</w:t>
            </w:r>
          </w:p>
        </w:tc>
        <w:tc>
          <w:tcPr>
            <w:tcW w:type="dxa" w:w="352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9 лет юридической практики; «Сибнефть», 1996–2003.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Украинская национальная юридическая академия.</w:t>
            </w:r>
          </w:p>
        </w:tc>
      </w:tr>
      <w:tr>
        <w:trPr>
          <w:cantSplit/>
        </w:trPr>
        <w:tc>
          <w:tcPr>
            <w:tcW w:type="dxa" w:w="15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Максим Стецюк</w:t>
            </w:r>
          </w:p>
        </w:tc>
        <w:tc>
          <w:tcPr>
            <w:tcW w:type="dxa" w:w="19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Head of Investor Relations с 2005</w:t>
            </w:r>
          </w:p>
        </w:tc>
        <w:tc>
          <w:tcPr>
            <w:tcW w:type="dxa" w:w="352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8 лет в фармацевтике; Abbott Labs и Eli Lilly.</w:t>
            </w:r>
          </w:p>
        </w:tc>
        <w:tc>
          <w:tcPr>
            <w:tcW w:type="dxa" w:w="208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Государственная академия управления.</w:t>
            </w:r>
          </w:p>
        </w:tc>
      </w:tr>
      <w:tr>
        <w:trPr>
          <w:cantSplit/>
        </w:trPr>
        <w:tc>
          <w:tcPr>
            <w:tcW w:type="dxa" w:w="15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Ольга Лещанская</w:t>
            </w:r>
          </w:p>
        </w:tc>
        <w:tc>
          <w:tcPr>
            <w:tcW w:type="dxa" w:w="19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Head of Public Relations с сентября 2006</w:t>
            </w:r>
          </w:p>
        </w:tc>
        <w:tc>
          <w:tcPr>
            <w:tcW w:type="dxa" w:w="352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10 лет опыта; ранее Unilever.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Российский государственный медицинский университет; финансы, РЭА им. Г. В. Плеханова.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03 / ЛИЦА — ПРОДОЛЖЕНИЕ</w:t>
      </w:r>
    </w:p>
    <w:p>
      <w:pPr>
        <w:pStyle w:val="Heading1"/>
      </w:pPr>
      <w:r>
        <w:t>Исполнительная, маркетинговая и медицинская цепочка</w:t>
      </w:r>
    </w:p>
    <w:p>
      <w:pPr>
        <w:pStyle w:val="Deck"/>
      </w:pPr>
      <w:r>
        <w:t>Должности приведены в формулировках корпоративного проспекта и официальных сообщений компании.</w:t>
      </w:r>
    </w:p>
    <w:p>
      <w:pPr>
        <w:pStyle w:val="PersonName"/>
      </w:pPr>
      <w:r>
        <w:t>Игорь Крылов</w:t>
      </w:r>
    </w:p>
    <w:p>
      <w:pPr>
        <w:pStyle w:val="PersonRole"/>
      </w:pPr>
      <w:r>
        <w:t>Генеральный директор • член совета директоров • выпускник Военно-медицинской академии</w:t>
      </w:r>
    </w:p>
    <w:p>
      <w:pPr>
        <w:pStyle w:val="ListBullet"/>
        <w:spacing w:after="80"/>
      </w:pPr>
      <w:r>
        <w:t>В 1987 году окончил Военно-медицинскую академию имени С. М. Кирова по специальности «лечебное дело»; до 1994 года служил в вооруженных силах.</w:t>
      </w:r>
    </w:p>
    <w:p>
      <w:pPr>
        <w:pStyle w:val="ListBullet"/>
        <w:spacing w:after="80"/>
      </w:pPr>
      <w:r>
        <w:t>В 1994–2002 годах работал в Eli Lilly, в 2002–2003 годах — в Aventis; в 2003–2004 годах возглавлял ICN.</w:t>
      </w:r>
    </w:p>
    <w:p>
      <w:pPr>
        <w:pStyle w:val="ListBullet"/>
        <w:spacing w:after="80"/>
      </w:pPr>
      <w:r>
        <w:t>С 2003 года занимал должность CEO бизнеса, преобразованного в «Фармстандарт»; с мая 2006 года входил в совет директоров.</w:t>
      </w:r>
    </w:p>
    <w:p>
      <w:pPr>
        <w:pStyle w:val="ListBullet"/>
        <w:spacing w:after="80"/>
      </w:pPr>
      <w:r>
        <w:t>Годовой отчет 2012 года подписан его обращением к акционерам; в нем описано увеличение маркетинговых расходов на Codelac.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2F6488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EAF1F6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Образование</w:t>
            </w:r>
          </w:p>
          <w:p>
            <w:r>
              <w:t>Военно-медицинская академия имени С. М. Кирова, «лечебное дело», 1987; диплом с отличием по проспекту.</w:t>
            </w:r>
          </w:p>
        </w:tc>
      </w:tr>
    </w:tbl>
    <w:p>
      <w:pPr>
        <w:spacing w:after="20"/>
      </w:pPr>
    </w:p>
    <w:p>
      <w:pPr>
        <w:pStyle w:val="Small"/>
      </w:pPr>
      <w:r>
        <w:rPr>
          <w:b/>
        </w:rPr>
        <w:t xml:space="preserve">Источник роли: </w:t>
      </w:r>
      <w:hyperlink r:id="rId18">
        <w:r>
          <w:rPr>
            <w:color w:val="2F6488"/>
            <w:u w:val="single"/>
          </w:rPr>
          <w:t>проспект / корпоративное раскрытие</w:t>
        </w:r>
      </w:hyperlink>
    </w:p>
    <w:p>
      <w:pPr>
        <w:pStyle w:val="PersonName"/>
      </w:pPr>
      <w:r>
        <w:t>Ольга Медникова</w:t>
      </w:r>
    </w:p>
    <w:p>
      <w:pPr>
        <w:pStyle w:val="PersonRole"/>
      </w:pPr>
      <w:r>
        <w:t>Chief Sales &amp; Marketing Officer с 2004 • врач • кандидат медицинских наук</w:t>
      </w:r>
    </w:p>
    <w:p>
      <w:pPr>
        <w:pStyle w:val="ListBullet"/>
        <w:spacing w:after="80"/>
      </w:pPr>
      <w:r>
        <w:t>Проспект 2007 года датирует начало ее работы Chief Sales &amp; Marketing Officer 2004 годом. В том же году компания запустила Codelac Phyto.</w:t>
      </w:r>
    </w:p>
    <w:p>
      <w:pPr>
        <w:pStyle w:val="ListBullet"/>
        <w:spacing w:after="80"/>
      </w:pPr>
      <w:r>
        <w:t>К 2007 году имела 12 лет опыта в здравоохранении.</w:t>
      </w:r>
    </w:p>
    <w:p>
      <w:pPr>
        <w:pStyle w:val="ListBullet"/>
        <w:spacing w:after="80"/>
      </w:pPr>
      <w:r>
        <w:t>До «Фармстандарта» она занимала руководящие позиции в маркетинге и продвижении в Glaxo Wellcome и IVAX.</w:t>
      </w:r>
    </w:p>
    <w:p>
      <w:pPr>
        <w:pStyle w:val="ListBullet"/>
        <w:spacing w:after="80"/>
      </w:pPr>
      <w:r>
        <w:t>Официальное корпоративное сообщение 2011 года включает Медникову в правление как Chief Sales and Marketing Officer.</w:t>
      </w:r>
    </w:p>
    <w:p>
      <w:pPr>
        <w:pStyle w:val="ListBullet"/>
        <w:spacing w:after="80"/>
      </w:pPr>
      <w:r>
        <w:t>В 2013 году она была назначена генеральным директором выделенного OTCPharm.</w:t>
      </w:r>
    </w:p>
    <w:p>
      <w:pPr>
        <w:pStyle w:val="ListBullet"/>
        <w:spacing w:after="80"/>
      </w:pPr>
      <w:r>
        <w:t>Официальная биография OTCPharm указывает специальность «лечебное дело», квалификацию врача и степень кандидата медицинских наук с 1993 года.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2F6488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EAF1F6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Образование</w:t>
            </w:r>
          </w:p>
          <w:p>
            <w:r>
              <w:t>Самарский медицинский институт, «лечебное дело», квалификация «врач»; кандидат медицинских наук с 1993 года.</w:t>
            </w:r>
          </w:p>
        </w:tc>
      </w:tr>
    </w:tbl>
    <w:p>
      <w:pPr>
        <w:spacing w:after="20"/>
      </w:pPr>
    </w:p>
    <w:p>
      <w:pPr>
        <w:pStyle w:val="Small"/>
      </w:pPr>
      <w:r>
        <w:rPr>
          <w:b/>
        </w:rPr>
        <w:t xml:space="preserve">Источник роли: </w:t>
      </w:r>
      <w:hyperlink r:id="rId19">
        <w:r>
          <w:rPr>
            <w:color w:val="2F6488"/>
            <w:u w:val="single"/>
          </w:rPr>
          <w:t>проспект / корпоративное раскрытие</w:t>
        </w:r>
      </w:hyperlink>
    </w:p>
    <w:p>
      <w:pPr>
        <w:pStyle w:val="PersonName"/>
      </w:pPr>
      <w:r>
        <w:t>Александр Обухов</w:t>
      </w:r>
    </w:p>
    <w:p>
      <w:pPr>
        <w:pStyle w:val="PersonRole"/>
      </w:pPr>
      <w:r>
        <w:t>Medical Director к сентябрю 2011 года • руководитель медицинского отдела в последующих источниках</w:t>
      </w:r>
    </w:p>
    <w:p>
      <w:pPr>
        <w:pStyle w:val="ListBullet"/>
        <w:spacing w:after="80"/>
      </w:pPr>
      <w:r>
        <w:t>Официальный анонс Analyst &amp; Investor Day 2011 на сайте «Фармстандарта» перечисляет Alexander Obuhov как Medical Director.</w:t>
      </w:r>
    </w:p>
    <w:p>
      <w:pPr>
        <w:pStyle w:val="ListBullet"/>
        <w:spacing w:after="80"/>
      </w:pPr>
      <w:r>
        <w:t>В 2012 году он также указан среди участников дня инвестора вместе с CEO, CFO и заместителем CEO по маркетингу.</w:t>
      </w:r>
    </w:p>
    <w:p>
      <w:pPr>
        <w:pStyle w:val="ListBullet"/>
        <w:spacing w:after="80"/>
      </w:pPr>
      <w:r>
        <w:t>Профильные программы 2024 года называют его полное имя — Александр Александрович Обухов — и должность директора медицинского департамента АО «Фармстандарт».</w:t>
      </w:r>
    </w:p>
    <w:p>
      <w:pPr>
        <w:pStyle w:val="ListBullet"/>
        <w:spacing w:after="80"/>
      </w:pPr>
      <w:r>
        <w:t>В 2015 году А. А. Обухов с аффилиацией ОАО «Фармстандарт» был указан соавтором публикации о многоцентровом двойном слепом рандомизированном исследовании ARBITR.</w:t>
      </w:r>
    </w:p>
    <w:p>
      <w:pPr>
        <w:pStyle w:val="ListBullet"/>
        <w:spacing w:after="80"/>
      </w:pPr>
      <w:r>
        <w:t>В 2025 году РИА Новости также называет его директором медицинского департамента АО «Фармстандарт».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2F6488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EAF1F6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Образование</w:t>
            </w:r>
          </w:p>
          <w:p>
            <w:r>
              <w:t>В открытых корпоративных и отраслевых биографиях, использованных в отчете, вуз и специальность не указаны.</w:t>
            </w:r>
          </w:p>
        </w:tc>
      </w:tr>
    </w:tbl>
    <w:p>
      <w:pPr>
        <w:spacing w:after="20"/>
      </w:pPr>
    </w:p>
    <w:p>
      <w:pPr>
        <w:pStyle w:val="Small"/>
      </w:pPr>
      <w:r>
        <w:rPr>
          <w:b/>
        </w:rPr>
        <w:t xml:space="preserve">Источник роли: </w:t>
      </w:r>
      <w:hyperlink r:id="rId20">
        <w:r>
          <w:rPr>
            <w:color w:val="2F6488"/>
            <w:u w:val="single"/>
          </w:rPr>
          <w:t>проспект / корпоративное раскрытие</w:t>
        </w:r>
      </w:hyperlink>
    </w:p>
    <w:p>
      <w:pPr>
        <w:pStyle w:val="Heading2"/>
      </w:pPr>
      <w:r>
        <w:t>Медицинское образование в составе senior management 2007 года</w:t>
      </w:r>
    </w:p>
    <w:p>
      <w:r>
        <w:t>Проспект 2007 года указывает медицинские вузы в биографиях CEO Игоря Крылова, Chief Sales &amp; Marketing Officer Ольги Медниковой, Chief Human Resources Officer Сергея Пыльцына и Head of Public Relations Ольги Лещанской. Отдельное наименование должности Medical Director появляется в официальных сообщениях компании в 2011 году применительно к Александру Обухову.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7552407"/>
            <wp:docPr id="4" name="prospectus_medical_management_crop" descr="Pharmstandard 2007 prospectus senior management biographies including medical educa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_medical_management_crop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552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Проспект 2007 года, senior management: Игорь Крылов, Ольга Медникова и другие руководители; указаны должности и образование. Полная страница — в приложении.</w:t>
      </w:r>
    </w:p>
    <w:p>
      <w:r>
        <w:br w:type="page"/>
      </w:r>
    </w:p>
    <w:p>
      <w:pPr>
        <w:pStyle w:val="Kicker"/>
      </w:pPr>
      <w:r>
        <w:t>03 / ЛИЦА — ПРОИЗВОДИТЕЛЬ</w:t>
      </w:r>
    </w:p>
    <w:p>
      <w:pPr>
        <w:pStyle w:val="Heading1"/>
      </w:pPr>
      <w:r>
        <w:t>Руководство производственной и специализированных функций</w:t>
      </w:r>
    </w:p>
    <w:p>
      <w:pPr>
        <w:pStyle w:val="Deck"/>
      </w:pPr>
      <w:r>
        <w:t>Производитель, регуляторный отдел, регистрация новых продуктов, PR и контроль качества указаны раздельно.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656"/>
        <w:gridCol w:w="2376"/>
        <w:gridCol w:w="2520"/>
        <w:gridCol w:w="2520"/>
      </w:tblGrid>
      <w:tr>
        <w:trPr>
          <w:tblHeader w:val="true"/>
        </w:trPr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Лицо / функция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Должность и дата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Образование / прежняя работа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Документированная функциональная область</w:t>
            </w:r>
          </w:p>
        </w:tc>
      </w:tr>
      <w:tr>
        <w:trPr>
          <w:cantSplit/>
        </w:trPr>
        <w:tc>
          <w:tcPr>
            <w:tcW w:type="dxa" w:w="165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Евгений Ф. Прохода</w:t>
            </w:r>
          </w:p>
        </w:tc>
        <w:tc>
          <w:tcPr>
            <w:tcW w:type="dxa" w:w="237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Гендиректор ОАО «Фармстандарт-Лексредства» в декабре 2006; CEO площадки в отчете 2011.</w:t>
            </w:r>
          </w:p>
        </w:tc>
        <w:tc>
          <w:tcPr>
            <w:tcW w:type="dxa" w:w="25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Химико-технологический факультет ТПИ, 1963; Анжеро-Судженск; завод в Хайдарабаде; главный инженер в Усолье-Сибирском; Курский комбинат с 1979; ICN с 1998.</w:t>
            </w:r>
          </w:p>
        </w:tc>
        <w:tc>
          <w:tcPr>
            <w:tcW w:type="dxa" w:w="25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Руководство предприятием-изготовителем; в декабре 2006 запущена линия «Коделака», «Терпинкода» и «Пенталгина».</w:t>
            </w:r>
          </w:p>
        </w:tc>
      </w:tr>
      <w:tr>
        <w:trPr>
          <w:cantSplit/>
        </w:trPr>
        <w:tc>
          <w:tcPr>
            <w:tcW w:type="dxa" w:w="165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Елена Толстова</w:t>
            </w:r>
          </w:p>
        </w:tc>
        <w:tc>
          <w:tcPr>
            <w:tcW w:type="dxa" w:w="237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Head of Regulatory Department по годовому отчету 2009.</w:t>
            </w:r>
          </w:p>
        </w:tc>
        <w:tc>
          <w:tcPr>
            <w:tcW w:type="dxa" w:w="25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Корпоративный отчет 2009 года приводит должность и имя.</w:t>
            </w:r>
          </w:p>
        </w:tc>
        <w:tc>
          <w:tcPr>
            <w:tcW w:type="dxa" w:w="25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Регуляторный отдел группы.</w:t>
            </w:r>
          </w:p>
        </w:tc>
      </w:tr>
      <w:tr>
        <w:trPr>
          <w:cantSplit/>
        </w:trPr>
        <w:tc>
          <w:tcPr>
            <w:tcW w:type="dxa" w:w="165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Сергей Барыкин</w:t>
            </w:r>
          </w:p>
        </w:tc>
        <w:tc>
          <w:tcPr>
            <w:tcW w:type="dxa" w:w="237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Chief of Department of New Products Registration по отчету 2009.</w:t>
            </w:r>
          </w:p>
        </w:tc>
        <w:tc>
          <w:tcPr>
            <w:tcW w:type="dxa" w:w="25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Корпоративный отчет 2009 года приводит должность и имя.</w:t>
            </w:r>
          </w:p>
        </w:tc>
        <w:tc>
          <w:tcPr>
            <w:tcW w:type="dxa" w:w="25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Регистрация новых лекарственных продуктов.</w:t>
            </w:r>
          </w:p>
        </w:tc>
      </w:tr>
      <w:tr>
        <w:trPr>
          <w:cantSplit/>
        </w:trPr>
        <w:tc>
          <w:tcPr>
            <w:tcW w:type="dxa" w:w="165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Ольга Лещанская</w:t>
            </w:r>
          </w:p>
        </w:tc>
        <w:tc>
          <w:tcPr>
            <w:tcW w:type="dxa" w:w="237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Head of Public Relations с сентября 2006; в 2007 — заместитель гендиректора по корпоративным коммуникациям.</w:t>
            </w:r>
          </w:p>
        </w:tc>
        <w:tc>
          <w:tcPr>
            <w:tcW w:type="dxa" w:w="25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Российский государственный медицинский университет; финансовое образование в РЭА им. Г. В. Плеханова; ранее Unilever.</w:t>
            </w:r>
          </w:p>
        </w:tc>
        <w:tc>
          <w:tcPr>
            <w:tcW w:type="dxa" w:w="252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Public relations и корпоративные коммуникации в период рекламы 2006–2007 и IPO.</w:t>
            </w:r>
          </w:p>
        </w:tc>
      </w:tr>
      <w:tr>
        <w:trPr>
          <w:cantSplit/>
        </w:trPr>
        <w:tc>
          <w:tcPr>
            <w:tcW w:type="dxa" w:w="165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Фармаконадзор и QA</w:t>
            </w:r>
          </w:p>
        </w:tc>
        <w:tc>
          <w:tcPr>
            <w:tcW w:type="dxa" w:w="237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Функции описаны в годовых отчетах 2008–2012; отчет 2012 относит контроль promotion к quality assurance.</w:t>
            </w:r>
          </w:p>
        </w:tc>
        <w:tc>
          <w:tcPr>
            <w:tcW w:type="dxa" w:w="25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Корпоративная система безопасности и качества.</w:t>
            </w:r>
          </w:p>
        </w:tc>
        <w:tc>
          <w:tcPr>
            <w:tcW w:type="dxa" w:w="252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Фармаконадзор, quality assurance и контроль процессов продвижения.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04 / ПРЕПАРАТ</w:t>
      </w:r>
    </w:p>
    <w:p>
      <w:pPr>
        <w:pStyle w:val="Heading1"/>
      </w:pPr>
      <w:r>
        <w:t>Что написано в официальной инструкции</w:t>
      </w:r>
    </w:p>
    <w:p>
      <w:pPr>
        <w:pStyle w:val="Deck"/>
      </w:pPr>
      <w:r>
        <w:t>Состав, возраст, режим дозирования, предупреждения и условия отпуска приведены по регистрационному документу.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32"/>
        <w:gridCol w:w="6840"/>
      </w:tblGrid>
      <w:tr>
        <w:trPr>
          <w:tblHeader w:val="true"/>
        </w:trPr>
        <w:tc>
          <w:tcPr>
            <w:tcW w:type="dxa" w:w="4795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4795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Официальная редакция Р N002419/01-130808</w:t>
            </w:r>
          </w:p>
        </w:tc>
      </w:tr>
      <w:tr>
        <w:trPr>
          <w:cantSplit/>
        </w:trPr>
        <w:tc>
          <w:tcPr>
            <w:tcW w:type="dxa" w:w="223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Название и форма</w:t>
            </w:r>
          </w:p>
        </w:tc>
        <w:tc>
          <w:tcPr>
            <w:tcW w:type="dxa" w:w="68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Коделак® фито, эликсир.</w:t>
            </w:r>
          </w:p>
        </w:tc>
      </w:tr>
      <w:tr>
        <w:trPr>
          <w:cantSplit/>
        </w:trPr>
        <w:tc>
          <w:tcPr>
            <w:tcW w:type="dxa" w:w="223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Состав на 5 мл</w:t>
            </w:r>
          </w:p>
        </w:tc>
        <w:tc>
          <w:tcPr>
            <w:tcW w:type="dxa" w:w="68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Кодеина фосфата гемигидрат 4,5 мг; экстракты термопсиса 10 мг, чабреца 1000 мг, солодки 200 мг.</w:t>
            </w:r>
          </w:p>
        </w:tc>
      </w:tr>
      <w:tr>
        <w:trPr>
          <w:cantSplit/>
        </w:trPr>
        <w:tc>
          <w:tcPr>
            <w:tcW w:type="dxa" w:w="223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Фармакотерапевтическая группа</w:t>
            </w:r>
          </w:p>
        </w:tc>
        <w:tc>
          <w:tcPr>
            <w:tcW w:type="dxa" w:w="68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Комбинированное противокашлевое средство: опиоидное противокашлевое + отхаркивающее.</w:t>
            </w:r>
          </w:p>
        </w:tc>
      </w:tr>
      <w:tr>
        <w:trPr>
          <w:cantSplit/>
        </w:trPr>
        <w:tc>
          <w:tcPr>
            <w:tcW w:type="dxa" w:w="223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Показание</w:t>
            </w:r>
          </w:p>
        </w:tc>
        <w:tc>
          <w:tcPr>
            <w:tcW w:type="dxa" w:w="68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Симптоматическое лечение сухого кашля при бронхолегочных заболеваниях.</w:t>
            </w:r>
          </w:p>
        </w:tc>
      </w:tr>
      <w:tr>
        <w:trPr>
          <w:cantSplit/>
        </w:trPr>
        <w:tc>
          <w:tcPr>
            <w:tcW w:type="dxa" w:w="223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Возраст</w:t>
            </w:r>
          </w:p>
        </w:tc>
        <w:tc>
          <w:tcPr>
            <w:tcW w:type="dxa" w:w="68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Взрослым и детям старше 2 лет; возраст до 2 лет — противопоказание.</w:t>
            </w:r>
          </w:p>
        </w:tc>
      </w:tr>
      <w:tr>
        <w:trPr>
          <w:cantSplit/>
        </w:trPr>
        <w:tc>
          <w:tcPr>
            <w:tcW w:type="dxa" w:w="223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Доза 2–5 лет</w:t>
            </w:r>
          </w:p>
        </w:tc>
        <w:tc>
          <w:tcPr>
            <w:tcW w:type="dxa" w:w="68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5 мл в сутки, разделенные на 2–3 приема. Это 4,5 мг кодеина фосфата в сутки.</w:t>
            </w:r>
          </w:p>
        </w:tc>
      </w:tr>
      <w:tr>
        <w:trPr>
          <w:cantSplit/>
        </w:trPr>
        <w:tc>
          <w:tcPr>
            <w:tcW w:type="dxa" w:w="223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Риски в тексте инструкции</w:t>
            </w:r>
          </w:p>
        </w:tc>
        <w:tc>
          <w:tcPr>
            <w:tcW w:type="dxa" w:w="68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Сонливость; при длительном применении — лекарственная зависимость; при передозировке — угнетение дыхательного центра и брадипноэ; антидот — налоксон.</w:t>
            </w:r>
          </w:p>
        </w:tc>
      </w:tr>
      <w:tr>
        <w:trPr>
          <w:cantSplit/>
        </w:trPr>
        <w:tc>
          <w:tcPr>
            <w:tcW w:type="dxa" w:w="223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Отпуск</w:t>
            </w:r>
          </w:p>
        </w:tc>
        <w:tc>
          <w:tcPr>
            <w:tcW w:type="dxa" w:w="68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Без рецепта.</w:t>
            </w:r>
          </w:p>
        </w:tc>
      </w:tr>
      <w:tr>
        <w:trPr>
          <w:cantSplit/>
        </w:trPr>
        <w:tc>
          <w:tcPr>
            <w:tcW w:type="dxa" w:w="223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Производитель</w:t>
            </w:r>
          </w:p>
        </w:tc>
        <w:tc>
          <w:tcPr>
            <w:tcW w:type="dxa" w:w="68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7"/>
              </w:rPr>
              <w:t>ОАО «Фармстандарт-Лексредства», Курск.</w:t>
            </w:r>
          </w:p>
        </w:tc>
      </w:tr>
    </w:tbl>
    <w:p>
      <w:pPr>
        <w:spacing w:after="20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938236"/>
            <wp:docPr id="5" name="instruction_composition_opioid_crop" descr="Official instruction composition and opioid classifica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_composition_opioid_crop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938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Инструкция: 4,5 мг кодеина фосфата на 5 мл и собственная классификация как опиоидного противокашлевого средства.</w:t>
      </w:r>
    </w:p>
    <w:p>
      <w:pPr>
        <w:pStyle w:val="Heading2"/>
      </w:pPr>
      <w:r>
        <w:t>Детская доза и многодозовый флакон</w:t>
      </w:r>
    </w:p>
    <w:p>
      <w:r>
        <w:t>Для ребенка 2–5 лет инструкция предусматривала 5 мл в сутки. При иллюстративной массе 12 кг это 0,375 мг/кг/сут кодеина фосфата; при двух приемах — 0,1875 мг/кг за прием, при трех — 0,125 мг/кг.</w:t>
      </w:r>
    </w:p>
    <w:p>
      <w:r>
        <w:t>Но OTC-режим менял контекст риска. Во флаконе 50 мл содержалось 45 мг кодеина фосфата, в 100 мл — 90 мг, в 125 мл — 112,5 мг. То есть родитель получал многодозовый опиоидный препарат без обязательного назначения врача. Это создавало отдельные риски ошибочного отмеривания, повторных доз, случайного проглатывания и немедицинского использования.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637065"/>
            <wp:docPr id="6" name="instruction_age_dose_dependence_crop" descr="Official instruction crop showing pediatric dosing, dependence and respiratory depression warning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_age_dose_dependence_cro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637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Инструкция: возраст, дозы, зависимость и симптомы передозировки, включая угнетение дыхательного центра.</w:t>
      </w:r>
    </w:p>
    <w:p>
      <w:r>
        <w:br w:type="page"/>
      </w:r>
    </w:p>
    <w:p>
      <w:pPr>
        <w:pStyle w:val="Kicker"/>
      </w:pPr>
      <w:r>
        <w:t>05 / МЕДИЦИНСКИЕ ДАННЫЕ</w:t>
      </w:r>
    </w:p>
    <w:p>
      <w:pPr>
        <w:pStyle w:val="Heading1"/>
      </w:pPr>
      <w:r>
        <w:t>Эффективность, метаболизм, дыхание и зависимость</w:t>
      </w:r>
    </w:p>
    <w:p>
      <w:pPr>
        <w:pStyle w:val="Deck"/>
      </w:pPr>
      <w:r>
        <w:t>Раздел сводит исследования и регуляторные документы, опубликованные до и в период 2000–2013 годов.</w:t>
      </w:r>
    </w:p>
    <w:p>
      <w:pPr>
        <w:pStyle w:val="Heading2"/>
      </w:pPr>
      <w:r>
        <w:t>Эффективность при остром детском кашле</w:t>
      </w:r>
    </w:p>
    <w:p>
      <w:r>
        <w:t>Рандомизированное исследование 1993 года у детей 18 месяцев–12 лет не выявило преимущества комбинации codeine/guaifenesin перед плацебо по ночному кашлю. В исследовании участвовали 49 оцениваемых детей; точная смесь Codelac Phyto в нем не изучалась.</w:t>
      </w:r>
    </w:p>
    <w:p>
      <w:r>
        <w:t>Американская академия педиатрии в публикациях 1978 и 1997 годов указывала на защитную функцию кашля, ограниченную доказательную базу эффективности и риски кодеиновых противокашлевых средств у детей. Руководство WHO 2001 года не рекомендовало препараты с кодеином для кашля у маленьких детей.</w:t>
      </w:r>
    </w:p>
    <w:p>
      <w:pPr>
        <w:pStyle w:val="Heading2"/>
      </w:pPr>
      <w:r>
        <w:t>CYP2D6 и непредсказуемое превращение в морфин</w:t>
      </w:r>
    </w:p>
    <w:p>
      <w:r>
        <w:t>Кодеин частично превращается CYP2D6 в морфин. При низкой активности фермента эффект может быть слабым; при ультрабыстром метаболизме морфиновая экспозиция может быть значительно выше при той же дозе. Детское исследование 2002 года показало выраженную вариабельность образования морфина. Российское популяционное исследование 2003 года в Воронеже оценило долю ультрабыстрых метаболизаторов в 3,4%, но это популяционная частота, а не прогноз индивидуального осложнения.</w:t>
      </w:r>
    </w:p>
    <w:p>
      <w:r>
        <w:t>Активность CYP2D6 формируется в раннем возрасте и зависит от генотипа. На риск опиоидной токсичности также влияют заболевания дыхательных путей, апноэ сна, гипертрофия миндалин, сопутствующие седативные средства, повторные дозы и ошибки отмеривания.</w:t>
      </w:r>
    </w:p>
    <w:p>
      <w:pPr>
        <w:pStyle w:val="Heading2"/>
      </w:pPr>
      <w:r>
        <w:t>Угнетение дыхания и зависимость</w:t>
      </w:r>
    </w:p>
    <w:p>
      <w:r>
        <w:t>Опубликованные до 2013 года фатальные педиатрические случаи относились преимущественно к послеоперационной анальгезии, более высоким дозам и детям с апноэ сна или бронхопневмонией. Эти случаи документировали механизм образования морфина и дыхательной депрессии у уязвимых детей.</w:t>
      </w:r>
    </w:p>
    <w:p>
      <w:r>
        <w:t>Официальная инструкция Codelac Phyto утверждала отсутствие угнетения дыхания в рекомендуемых дозах и одновременно указывала дыхательную недостаточность как противопоказание, усиление угнетающего действия на дыхательный центр при лекарственных сочетаниях и угнетение дыхательного центра при передозировке.</w:t>
      </w:r>
    </w:p>
    <w:p>
      <w:r>
        <w:t>Инструкция прямо предупреждала: при длительном применении возможно развитие лекарственной зависимости к кодеину; продолжительное лечение высокими дозами может привести к зависимости от препарата.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9E242B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F8E9E9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Сводка медицинских фактов</w:t>
            </w:r>
          </w:p>
          <w:p>
            <w:r>
              <w:t>Кодеин превращается в морфин через CYP2D6; скорость превращения генетически вариабельна. Для детского кашля до запуска Codelac Phyto существовали отрицательное плацебо-контролируемое исследование, предостережения AAP и рекомендация WHO не применять кодеин у маленьких детей. Инструкция производителя фиксировала зависимость и дыхательные риски при передозировке и сочетаниях.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06 / РЕКЛАМА</w:t>
      </w:r>
    </w:p>
    <w:p>
      <w:pPr>
        <w:pStyle w:val="Heading1"/>
      </w:pPr>
      <w:r>
        <w:t>Что звучало и показывалось в телевизионных роликах</w:t>
      </w:r>
    </w:p>
    <w:p>
      <w:pPr>
        <w:pStyle w:val="Deck"/>
      </w:pPr>
      <w:r>
        <w:t>Кадры и расшифровки привязаны к декодируемым записям, таймкодам и регистрационному номеру упаковки.</w:t>
      </w:r>
    </w:p>
    <w:p>
      <w:pPr>
        <w:pStyle w:val="Heading2"/>
      </w:pPr>
      <w:r>
        <w:t>2005: содержание звуковой дорожки и финального кадра</w:t>
      </w:r>
    </w:p>
    <w:p>
      <w:r>
        <w:t>В двух проверенных копиях одного креатива — СТС 23 января 2005 года и Первый канал 17 октября 2005 года — звучит: «Таблетки для взрослых и сироп для детей от двух лет». Перед этим диктор обещает, что Codelac «быстро остановит и вылечит кашель». Визуальный ряд показывает женщину с букетом, затем упаковки таблетированной и жидкой форм.</w:t>
      </w:r>
    </w:p>
    <w:p>
      <w:r>
        <w:t>Экранные claims: «Остановит кашель», «Снимет воспаление», «Очистит бронхи». Финальный packshot показывает коробку и коричневый флакон под единым брендом Codelac. Формула «вылечит кашель» шире формального показания инструкции — симптоматического лечения сухого кашля.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645152"/>
            <wp:docPr id="7" name="ad_2005_claims_web" descr="Archived 2005 Codelac advertising frame with three product claim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_2005_claims_web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6451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СТС, карточка архива 23.01.2005, около 00:37,4: claims «Остановит кашель / Снимет воспаление / Очистит бронхи». Веб-версия масштабирована без генеративной реконструкции; исходный PNG сохранен отдельно.</w:t>
      </w:r>
    </w:p>
    <w:p>
      <w:pPr>
        <w:pStyle w:val="Heading2"/>
      </w:pPr>
      <w:r>
        <w:t>2006–2007: номер жидкой формы виден на packshot</w:t>
      </w:r>
    </w:p>
    <w:p>
      <w:r>
        <w:t>В финальном кадре копии ТНТ от 13 ноября 2006 года над флаконом читается Р/У № 002419/01. Государственный реестр связывает этот номер с эликсиром «Коделак Фито».</w:t>
      </w:r>
    </w:p>
    <w:p>
      <w:r>
        <w:t>Проверенные сокращенные версии 2007 года завершаются packshot с коробкой, флаконом и двумя регистрационными номерами.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74920" cy="3806190"/>
            <wp:docPr id="8" name="ad_2006_packshot_ru_web" descr="Archived 2006 Codelac packshot with registration number N002419/01 above the bottl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_2006_packshot_ru_web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806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ТНТ, карточка архива 13.11.2006, около 01:19,8: packshot Codelac; над флаконом читается Р/У № 002419/01. Источник — собственная оцифровка Staroetv.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1440"/>
        <w:gridCol w:w="3816"/>
        <w:gridCol w:w="2016"/>
      </w:tblGrid>
      <w:tr>
        <w:trPr>
          <w:tblHeader w:val="true"/>
        </w:trPr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Карточка архива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Фрагмент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Звуковое и экранное содержание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Идентификация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СТС, 23.01.2005</w:t>
            </w:r>
          </w:p>
        </w:tc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00:32,0–00:41,8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«Сироп для детей от двух лет»; claims; коробка и флакон.</w:t>
            </w:r>
          </w:p>
        </w:tc>
        <w:tc>
          <w:tcPr>
            <w:tcW w:type="dxa" w:w="20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Бренд Codelac; исходная запись 720×576.</w:t>
            </w:r>
          </w:p>
        </w:tc>
      </w:tr>
      <w:tr>
        <w:trPr>
          <w:cantSplit/>
        </w:trPr>
        <w:tc>
          <w:tcPr>
            <w:tcW w:type="dxa" w:w="180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Первый канал, 17.10.2005</w:t>
            </w:r>
          </w:p>
        </w:tc>
        <w:tc>
          <w:tcPr>
            <w:tcW w:type="dxa" w:w="14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04:21,0–04:30,8</w:t>
            </w:r>
          </w:p>
        </w:tc>
        <w:tc>
          <w:tcPr>
            <w:tcW w:type="dxa" w:w="38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Тот же креатив и та же детская формула.</w:t>
            </w:r>
          </w:p>
        </w:tc>
        <w:tc>
          <w:tcPr>
            <w:tcW w:type="dxa" w:w="20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Вторая архивная копия креатива 2005.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ТНТ, 13.11.2006</w:t>
            </w:r>
          </w:p>
        </w:tc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01:11,5–01:20,8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Финальный packshot коробки и жидкой формы.</w:t>
            </w:r>
          </w:p>
        </w:tc>
        <w:tc>
          <w:tcPr>
            <w:tcW w:type="dxa" w:w="20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Над флаконом читается Р/У № 002419/01.</w:t>
            </w:r>
          </w:p>
        </w:tc>
      </w:tr>
      <w:tr>
        <w:trPr>
          <w:cantSplit/>
        </w:trPr>
        <w:tc>
          <w:tcPr>
            <w:tcW w:type="dxa" w:w="180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Россия, 12.03.2007</w:t>
            </w:r>
          </w:p>
        </w:tc>
        <w:tc>
          <w:tcPr>
            <w:tcW w:type="dxa" w:w="14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00:44,5–00:48,9</w:t>
            </w:r>
          </w:p>
        </w:tc>
        <w:tc>
          <w:tcPr>
            <w:tcW w:type="dxa" w:w="38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Короткий финальный packshot с коробкой и флаконом.</w:t>
            </w:r>
          </w:p>
        </w:tc>
        <w:tc>
          <w:tcPr>
            <w:tcW w:type="dxa" w:w="20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Те же два регистрационных номера.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Первый канал, 26.11.2007</w:t>
            </w:r>
          </w:p>
        </w:tc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02:59,0–03:03,9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Тот же короткий финал.</w:t>
            </w:r>
          </w:p>
        </w:tc>
        <w:tc>
          <w:tcPr>
            <w:tcW w:type="dxa" w:w="20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Коробка и жидкая форма Codelac.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07 / ПРАВО</w:t>
      </w:r>
    </w:p>
    <w:p>
      <w:pPr>
        <w:pStyle w:val="Heading1"/>
      </w:pPr>
      <w:r>
        <w:t>Регистрация, отпуск и реклама — три разные правовые плоскости</w:t>
      </w:r>
    </w:p>
    <w:p>
      <w:pPr>
        <w:pStyle w:val="Deck"/>
      </w:pPr>
      <w:r>
        <w:t>Безрецептурный статус не давал автоматического разрешения на любую массовую рекламу.</w:t>
      </w:r>
    </w:p>
    <w:p>
      <w:pPr>
        <w:pStyle w:val="Heading2"/>
      </w:pPr>
      <w:r>
        <w:t>OTC-основание</w:t>
      </w:r>
    </w:p>
    <w:p>
      <w:r>
        <w:t>Таблетированная комбинация Codelac была включена в федеральный OTC-перечень приказом № 578 от 13 сентября 2005 года. Приказ № 823 от 4 декабря 2006 года добавил жидкую композицию, соответствующую по концентрации и фасовкам Codelac Phyto: 4,5 мг кодеина фосфата на 5 мл плюс экстракты термопсиса, солодки и чабреца, флаконы 50/100/125 мл. Приказ вступил в силу 11 января 2007 года.</w:t>
      </w:r>
    </w:p>
    <w:p>
      <w:r>
        <w:t>Проверенные рекламные записи жидкой формы датированы январем и октябрем 2005 года. Приказ Минздрава Свердловской области № 801-п от 10 октября 2006 года прямо перечислял Codelac Phyto среди безрецептурных кодеинсодержащих препаратов. Официальная инструкция Р N002419/01-130808 также указывала отпуск «Без рецепта».</w:t>
      </w:r>
    </w:p>
    <w:p>
      <w:pPr>
        <w:pStyle w:val="Heading2"/>
      </w:pPr>
      <w:r>
        <w:t>Реклама после 1 июля 2006 года</w:t>
      </w:r>
    </w:p>
    <w:p>
      <w:r>
        <w:t>Часть 9 статьи 24 Федерального закона № 38-ФЗ с 1 июля 2006 года запрещала массовую рекламу лекарственных средств, содержащих разрешенные к медицинскому применению наркотические средства списков II и III. Кодеин и кодеина фосфат находились в Списке II. Текст нормы не содержал исключения для малой дозы или безрецептурного статуса.</w:t>
      </w:r>
    </w:p>
    <w:p>
      <w:r>
        <w:t>Ролик, датированный архивом ТНТ 13 ноября 2006 года, и сокращенные версии 2007 года относятся к периоду действия части 9 статьи 24. На packshot жидкой формы читается Р/У № 002419/01; карточка ГРЛС связывает этот номер с Codelac Phyto, содержащим кодеина фосфат.</w:t>
      </w:r>
    </w:p>
    <w:p>
      <w:pPr>
        <w:pStyle w:val="Heading2"/>
      </w:pPr>
      <w:r>
        <w:t>Региональный сигнал злоупотребления</w:t>
      </w:r>
    </w:p>
    <w:p>
      <w:r>
        <w:t>Приказ Минздрава Свердловской области № 801-п от 10 октября 2006 года мотивирован участившимися случаями злоупотребления кодеинсодержащими препаратами. Он прямо упоминает Codelac Phyto среди безрецептурных препаратов, ограничивает продажу одной упаковкой и рекомендует отпускать их лицам старше 18 лет. Через восемь недель федеральный приказ № 823 включил точную жидкую композицию в OTC-перечень.</w:t>
      </w:r>
    </w:p>
    <w:p>
      <w:pPr>
        <w:pStyle w:val="Heading2"/>
      </w:pPr>
      <w:r>
        <w:t>Переход на рецепт</w:t>
      </w:r>
    </w:p>
    <w:p>
      <w:r>
        <w:t>Постановление Правительства № 599 от 20 июля 2011 года установило обязательный рецептурный отпуск малодозных кодеиновых комбинаций с 1 июня 2012 года. Приказ № 562н определил форму рецепта и вступил в силу 17 июня 2012 года. В годовом отчете 2012 года «Фармстандарт» описал падение кодеинового Codelac и рост бескодеиновых Codelac Broncho и Codelac Neo.</w:t>
      </w:r>
    </w:p>
    <w:p>
      <w:r>
        <w:br w:type="page"/>
      </w:r>
    </w:p>
    <w:p>
      <w:pPr>
        <w:pStyle w:val="Kicker"/>
      </w:pPr>
      <w:r>
        <w:t>08 / БИЗНЕС</w:t>
      </w:r>
    </w:p>
    <w:p>
      <w:pPr>
        <w:pStyle w:val="Heading1"/>
      </w:pPr>
      <w:r>
        <w:t>Как Codelac входил в модель роста «Фармстандарта»</w:t>
      </w:r>
    </w:p>
    <w:p>
      <w:pPr>
        <w:pStyle w:val="Deck"/>
      </w:pPr>
      <w:r>
        <w:t>Корпоративные документы раскрывают продажи бренда, кодеиновый портфель и параметры вторичного IPO.</w:t>
      </w:r>
    </w:p>
    <w:p>
      <w:pPr>
        <w:pStyle w:val="Heading2"/>
      </w:pPr>
      <w:r>
        <w:t>До IPO</w:t>
      </w:r>
    </w:p>
    <w:p>
      <w:r>
        <w:t>Проспект 2007 года сообщает, что Codelac Phyto был запущен в 2004 году для лечения симптомов кашля у детей. Там же зафиксировано: в 2005 году компания начала рекламные кампании Codelac и Complivit; расходы на продажи и дистрибуцию выросли на 101%, а рост был связан прежде всего с маркетингом и рекламой.</w:t>
      </w:r>
    </w:p>
    <w:p>
      <w:r>
        <w:t>Продажи бренда Codelac выросли с 221,9 млн рублей и 5,4 млн упаковок в 2005 году до 375,3 млн рублей и 8,7 млн упаковок в 2006 году. Это рост на 69% в деньгах и 61% в упаковках. Показатель относится к бренду Codelac, а не отдельно к жидкой форме Phyto.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66822"/>
            <wp:docPr id="9" name="prospectus_codelac_children_crop" descr="Prospectus passage stating Codelac Phyto syrup was launched for cough symptoms in childre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_codelac_children_crop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66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Проспект 2007 года: компания пишет о запуске Codelac Phyto syrup в 2004 году «for the treatment of cough symptoms in children».</w:t>
      </w:r>
    </w:p>
    <w:p>
      <w:pPr>
        <w:pStyle w:val="Heading2"/>
      </w:pPr>
      <w:r>
        <w:t>Кодеиновые бренды в базе оценки компании</w:t>
      </w:r>
    </w:p>
    <w:p>
      <w:r>
        <w:t>В 2006 году совокупные продажи Codelac, Terpincod и Pentalgin-N/ICN составляли 2 743,8 млн рублей — 32,2% всей выручки группы и 45,5% OTC-продаж. Эти бренды не были полностью однородны по показаниям и составу, но корпоративные таблицы позволяют идентифицировать их как ключевую часть кодеинсодержащего портфеля.</w:t>
      </w:r>
    </w:p>
    <w:p>
      <w:r>
        <w:t>Проспект раскрывал продажи бренда Codelac в целом и не выделял выручку Codelac Phyto отдельной строкой. В оценку компании входили весь продуктовый портфель, производственные активы, рост продаж, маржа и положение на российском фармацевтическом рынке.</w:t>
      </w:r>
    </w:p>
    <w:p>
      <w:pPr>
        <w:pStyle w:val="Heading2"/>
      </w:pPr>
      <w:r>
        <w:t>Кому принесло деньги IPO</w:t>
      </w:r>
    </w:p>
    <w:p>
      <w:r>
        <w:t>Официальный релиз компании называет размещение вторичным предложением существующих акций Augment. Базовый объем составлял около 880 млн долларов; после over-allotment — около 952 млн долларов gross. В проспекте Augment — Selling Shareholder, а эмитент не получал proceeds от продажи. Это означает, что монетизация происходила на уровне продающего акционера.</w:t>
      </w:r>
    </w:p>
    <w:p>
      <w:r>
        <w:t>Проспект оценивал чистые поступления продающего акционера Augment примерно в 925 млн долларов и прямо указывал, что ОАО «Фармстандарт» не получит средств от продажи акций. До размещения таблица бенефициарных интересов указывала Харитонина — 49%, Кулькова — 21%, Абрамовича — 17%, Швидлера — 6%, прочих — 7%.</w:t>
      </w:r>
    </w:p>
    <w:p>
      <w:pPr>
        <w:pStyle w:val="Heading2"/>
      </w:pPr>
      <w:r>
        <w:t>После введения рецепта</w:t>
      </w:r>
    </w:p>
    <w:p>
      <w:r>
        <w:t>В 2011 году кодеинсодержащие формы составляли 750,3 млн из 872,3 млн рублей продаж Codelac, то есть около 86%; по упаковкам — 8,1 млн из 9,9 млн, около 82%. После введения рецепта продажи кодеинового Codelac в 2012 году упали на 68%, а компания нарастила продвижение бескодеиновых Codelac Broncho и Codelac Neo. Это корпоративное подтверждение того, что регуляторное изменение материально затронуло коммерческую модель бренда.</w:t>
      </w:r>
    </w:p>
    <w:p>
      <w:r>
        <w:br w:type="page"/>
      </w:r>
    </w:p>
    <w:p>
      <w:pPr>
        <w:pStyle w:val="Kicker"/>
      </w:pPr>
      <w:r>
        <w:t>09 / МИР 2000–2013</w:t>
      </w:r>
    </w:p>
    <w:p>
      <w:pPr>
        <w:pStyle w:val="Heading1"/>
      </w:pPr>
      <w:r>
        <w:t>Сравнение возрастных порогов и режимов отпуска</w:t>
      </w:r>
    </w:p>
    <w:p>
      <w:pPr>
        <w:pStyle w:val="Deck"/>
      </w:pPr>
      <w:r>
        <w:t>Сопоставлены рецепт, фармацевтический контроль, возраст и даты регуляторных изменений.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84"/>
        <w:gridCol w:w="3816"/>
        <w:gridCol w:w="3672"/>
      </w:tblGrid>
      <w:tr>
        <w:trPr>
          <w:tblHeader w:val="true"/>
        </w:trPr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Юрисдикция / год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Режим и изменение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Сопоставление с российской моделью</w:t>
            </w:r>
          </w:p>
        </w:tc>
      </w:tr>
      <w:tr>
        <w:trPr>
          <w:cantSplit/>
        </w:trPr>
        <w:tc>
          <w:tcPr>
            <w:tcW w:type="dxa" w:w="15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WHO, 2001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Руководство не рекомендовало кодеиновые средства от кашля маленьким детям.</w:t>
            </w:r>
          </w:p>
        </w:tc>
        <w:tc>
          <w:tcPr>
            <w:tcW w:type="dxa" w:w="36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Международная клиническая критика существовала до запуска Phyto.</w:t>
            </w:r>
          </w:p>
        </w:tc>
      </w:tr>
      <w:tr>
        <w:trPr>
          <w:cantSplit/>
        </w:trPr>
        <w:tc>
          <w:tcPr>
            <w:tcW w:type="dxa" w:w="15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Германия, до 2013</w:t>
            </w:r>
          </w:p>
        </w:tc>
        <w:tc>
          <w:tcPr>
            <w:tcW w:type="dxa" w:w="38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Некоторые рецептурные кодеиновые сиропы были разрешены с двух лет; возраст поднят до 12 лет в 2013.</w:t>
            </w:r>
          </w:p>
        </w:tc>
        <w:tc>
          <w:tcPr>
            <w:tcW w:type="dxa" w:w="367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Возраст 2+ сочетался с рецептурным режимом.</w:t>
            </w:r>
          </w:p>
        </w:tc>
      </w:tr>
      <w:tr>
        <w:trPr>
          <w:cantSplit/>
        </w:trPr>
        <w:tc>
          <w:tcPr>
            <w:tcW w:type="dxa" w:w="15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США, 2009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Promethazine/codeine 10 мг/5 мл — Rx only, противопоказан младше 6; этикетка предупреждала о дыхательных осложнениях.</w:t>
            </w:r>
          </w:p>
        </w:tc>
        <w:tc>
          <w:tcPr>
            <w:tcW w:type="dxa" w:w="36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Более строгий врачебный фильтр и более высокий возраст.</w:t>
            </w:r>
          </w:p>
        </w:tc>
      </w:tr>
      <w:tr>
        <w:trPr>
          <w:cantSplit/>
        </w:trPr>
        <w:tc>
          <w:tcPr>
            <w:tcW w:type="dxa" w:w="15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США, Schedule V</w:t>
            </w:r>
          </w:p>
        </w:tc>
        <w:tc>
          <w:tcPr>
            <w:tcW w:type="dxa" w:w="38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Некоторые низкодозные продукты могли отпускаться фармацевтом взрослому покупателю при предъявлении удостоверения личности и с записью в журнале.</w:t>
            </w:r>
          </w:p>
        </w:tc>
        <w:tc>
          <w:tcPr>
            <w:tcW w:type="dxa" w:w="367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Фармацевтический контроль, проверка возраста и учет сделки.</w:t>
            </w:r>
          </w:p>
        </w:tc>
      </w:tr>
      <w:tr>
        <w:trPr>
          <w:cantSplit/>
        </w:trPr>
        <w:tc>
          <w:tcPr>
            <w:tcW w:type="dxa" w:w="15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Канада, 2000-е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Низкодозное исключение без рецепта при участии фармацевта; лимит концентрации был ниже эквивалента Codelac Phyto на 30 мл.</w:t>
            </w:r>
          </w:p>
        </w:tc>
        <w:tc>
          <w:tcPr>
            <w:tcW w:type="dxa" w:w="36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Профессиональный фильтр и дозовый порог.</w:t>
            </w:r>
          </w:p>
        </w:tc>
      </w:tr>
      <w:tr>
        <w:trPr>
          <w:cantSplit/>
        </w:trPr>
        <w:tc>
          <w:tcPr>
            <w:tcW w:type="dxa" w:w="15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Великобритания, 2010/11</w:t>
            </w:r>
          </w:p>
        </w:tc>
        <w:tc>
          <w:tcPr>
            <w:tcW w:type="dxa" w:w="38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Регулятор решил не применять жидкие OTC-кодеиновые средства от кашля младше 18 лет.</w:t>
            </w:r>
          </w:p>
        </w:tc>
        <w:tc>
          <w:tcPr>
            <w:tcW w:type="dxa" w:w="367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К концу российского OTC-периода британская оценка была существенно строже.</w:t>
            </w:r>
          </w:p>
        </w:tc>
      </w:tr>
      <w:tr>
        <w:trPr>
          <w:cantSplit/>
        </w:trPr>
        <w:tc>
          <w:tcPr>
            <w:tcW w:type="dxa" w:w="15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Австралия, 2012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Не применять младше 6; 6–11 — только по совету врача/фармацевта/NP.</w:t>
            </w:r>
          </w:p>
        </w:tc>
        <w:tc>
          <w:tcPr>
            <w:tcW w:type="dxa" w:w="36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Возрастной и профессиональный фильтр.</w:t>
            </w:r>
          </w:p>
        </w:tc>
      </w:tr>
      <w:tr>
        <w:trPr>
          <w:cantSplit/>
        </w:trPr>
        <w:tc>
          <w:tcPr>
            <w:tcW w:type="dxa" w:w="15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EMA, 2013</w:t>
            </w:r>
          </w:p>
        </w:tc>
        <w:tc>
          <w:tcPr>
            <w:tcW w:type="dxa" w:w="38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Ограничения кодеина у детей были введены для обезболивания.</w:t>
            </w:r>
          </w:p>
        </w:tc>
        <w:tc>
          <w:tcPr>
            <w:tcW w:type="dxa" w:w="367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6"/>
              </w:rPr>
              <w:t>Документ 2013 года относился к показанию «боль».</w:t>
            </w:r>
          </w:p>
        </w:tc>
      </w:tr>
    </w:tbl>
    <w:p>
      <w:pPr>
        <w:spacing w:after="20"/>
      </w:pPr>
    </w:p>
    <w:p>
      <w:r>
        <w:t>В России Codelac Phyto сочетал возраст старше двух лет, отпуск без рецепта и общенациональную рекламу родителям. В Германии препараты с тем же нижним возрастным порогом были рецептурными; в США применялись Rx или контролируемый фармацевтом Schedule V; в Великобритании и Австралии в 2010–2012 годах были введены более высокие возрастные ограничения.</w:t>
      </w:r>
    </w:p>
    <w:p>
      <w:pPr>
        <w:pStyle w:val="Heading2"/>
      </w:pPr>
      <w:r>
        <w:t>Что изменилось к 2013 году</w:t>
      </w:r>
    </w:p>
    <w:p>
      <w:r>
        <w:t>В 2010/11 годах Великобритания прекратила применение жидких OTC-кодеиновых средств от кашля у лиц младше 18 лет. В 2012 году Австралия установила порог 6 лет и профессиональную консультацию для возраста 6–11 лет. В 2013 году EMA ограничила кодеин для обезболивания у детей, а Германия подняла возраст для кашлевых кодеиновых сиропов с двух до двенадцати лет. В России обязательный рецепт вступил в силу 1 июня 2012 года.</w:t>
      </w:r>
    </w:p>
    <w:p>
      <w:pPr>
        <w:pStyle w:val="Kicker"/>
      </w:pPr>
      <w:r>
        <w:t>10 / ХРОНОЛОГИЯ</w:t>
      </w:r>
    </w:p>
    <w:p>
      <w:pPr>
        <w:pStyle w:val="Heading1"/>
      </w:pPr>
      <w:r>
        <w:t>Продукт, люди, реклама, право и деньги — на одной шкале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238"/>
        <w:gridCol w:w="3312"/>
        <w:gridCol w:w="2203"/>
        <w:gridCol w:w="2318"/>
      </w:tblGrid>
      <w:tr>
        <w:trPr>
          <w:tblHeader w:val="true"/>
        </w:trPr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Дата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Событие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Лица / организация</w:t>
            </w:r>
          </w:p>
        </w:tc>
        <w:tc>
          <w:tcPr>
            <w:tcW w:type="dxa" w:w="23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Доказательное значение</w:t>
            </w:r>
          </w:p>
        </w:tc>
      </w:tr>
      <w:tr>
        <w:trPr>
          <w:cantSplit/>
        </w:trPr>
        <w:tc>
          <w:tcPr>
            <w:tcW w:type="dxa" w:w="123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Июнь 2003</w:t>
            </w:r>
          </w:p>
        </w:tc>
        <w:tc>
          <w:tcPr>
            <w:tcW w:type="dxa" w:w="33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Продажа российских фарм-активов ICN за $55 млн; начало формирования группы.</w:t>
            </w:r>
          </w:p>
        </w:tc>
        <w:tc>
          <w:tcPr>
            <w:tcW w:type="dxa" w:w="220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Profit House / Millhouse; будущая группа «Фармстандарт».</w:t>
            </w:r>
          </w:p>
        </w:tc>
        <w:tc>
          <w:tcPr>
            <w:tcW w:type="dxa" w:w="231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Исходная сделка и производственная база.</w:t>
            </w:r>
          </w:p>
        </w:tc>
      </w:tr>
      <w:tr>
        <w:trPr>
          <w:cantSplit/>
        </w:trPr>
        <w:tc>
          <w:tcPr>
            <w:tcW w:type="dxa" w:w="123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Конец 2003</w:t>
            </w:r>
          </w:p>
        </w:tc>
        <w:tc>
          <w:tcPr>
            <w:tcW w:type="dxa" w:w="33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Назначена новая senior management team.</w:t>
            </w:r>
          </w:p>
        </w:tc>
        <w:tc>
          <w:tcPr>
            <w:tcW w:type="dxa" w:w="2203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Игорь Крылов и менеджмент группы.</w:t>
            </w:r>
          </w:p>
        </w:tc>
        <w:tc>
          <w:tcPr>
            <w:tcW w:type="dxa" w:w="231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Исполнительная цепочка.</w:t>
            </w:r>
          </w:p>
        </w:tc>
      </w:tr>
      <w:tr>
        <w:trPr>
          <w:cantSplit/>
        </w:trPr>
        <w:tc>
          <w:tcPr>
            <w:tcW w:type="dxa" w:w="123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2004</w:t>
            </w:r>
          </w:p>
        </w:tc>
        <w:tc>
          <w:tcPr>
            <w:tcW w:type="dxa" w:w="33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Запуск Codelac Phyto для симптомов кашля у детей; централизация маркетинга.</w:t>
            </w:r>
          </w:p>
        </w:tc>
        <w:tc>
          <w:tcPr>
            <w:tcW w:type="dxa" w:w="220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ОАО «Фармстандарт»; Ольга Медникова — руководитель продаж и маркетинга.</w:t>
            </w:r>
          </w:p>
        </w:tc>
        <w:tc>
          <w:tcPr>
            <w:tcW w:type="dxa" w:w="231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Временное совпадение продуктового запуска и начала подтвержденной должности.</w:t>
            </w:r>
          </w:p>
        </w:tc>
      </w:tr>
      <w:tr>
        <w:trPr>
          <w:cantSplit/>
        </w:trPr>
        <w:tc>
          <w:tcPr>
            <w:tcW w:type="dxa" w:w="123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23.01.2005</w:t>
            </w:r>
          </w:p>
        </w:tc>
        <w:tc>
          <w:tcPr>
            <w:tcW w:type="dxa" w:w="33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Архивная копия рекламы: «сироп для детей от двух лет».</w:t>
            </w:r>
          </w:p>
        </w:tc>
        <w:tc>
          <w:tcPr>
            <w:tcW w:type="dxa" w:w="2203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Бренд Codelac; эфирная карточка СТС.</w:t>
            </w:r>
          </w:p>
        </w:tc>
        <w:tc>
          <w:tcPr>
            <w:tcW w:type="dxa" w:w="231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Проверенное педиатрическое позиционирование.</w:t>
            </w:r>
          </w:p>
        </w:tc>
      </w:tr>
      <w:tr>
        <w:trPr>
          <w:cantSplit/>
        </w:trPr>
        <w:tc>
          <w:tcPr>
            <w:tcW w:type="dxa" w:w="123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2005</w:t>
            </w:r>
          </w:p>
        </w:tc>
        <w:tc>
          <w:tcPr>
            <w:tcW w:type="dxa" w:w="33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Рекламная кампания Codelac; рост расходов на маркетинг и рекламу.</w:t>
            </w:r>
          </w:p>
        </w:tc>
        <w:tc>
          <w:tcPr>
            <w:tcW w:type="dxa" w:w="220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ОАО «Фармстандарт».</w:t>
            </w:r>
          </w:p>
        </w:tc>
        <w:tc>
          <w:tcPr>
            <w:tcW w:type="dxa" w:w="231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Корпоративное признание кампании.</w:t>
            </w:r>
          </w:p>
        </w:tc>
      </w:tr>
      <w:tr>
        <w:trPr>
          <w:cantSplit/>
        </w:trPr>
        <w:tc>
          <w:tcPr>
            <w:tcW w:type="dxa" w:w="123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Май 2006</w:t>
            </w:r>
          </w:p>
        </w:tc>
        <w:tc>
          <w:tcPr>
            <w:tcW w:type="dxa" w:w="33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Харитонин — председатель совета; Крылов — CEO и член совета.</w:t>
            </w:r>
          </w:p>
        </w:tc>
        <w:tc>
          <w:tcPr>
            <w:tcW w:type="dxa" w:w="2203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Виктор Харитонин, Игорь Крылов.</w:t>
            </w:r>
          </w:p>
        </w:tc>
        <w:tc>
          <w:tcPr>
            <w:tcW w:type="dxa" w:w="231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Начало документированных должностей до роликов 2006–2007.</w:t>
            </w:r>
          </w:p>
        </w:tc>
      </w:tr>
      <w:tr>
        <w:trPr>
          <w:cantSplit/>
        </w:trPr>
        <w:tc>
          <w:tcPr>
            <w:tcW w:type="dxa" w:w="123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01.07.2006</w:t>
            </w:r>
          </w:p>
        </w:tc>
        <w:tc>
          <w:tcPr>
            <w:tcW w:type="dxa" w:w="33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Вступает в силу новый закон о рекламе, включая запрет массовой рекламы лекарств с разрешенными наркотиками Списка II/III.</w:t>
            </w:r>
          </w:p>
        </w:tc>
        <w:tc>
          <w:tcPr>
            <w:tcW w:type="dxa" w:w="220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Рекламодатель и регулятор.</w:t>
            </w:r>
          </w:p>
        </w:tc>
        <w:tc>
          <w:tcPr>
            <w:tcW w:type="dxa" w:w="231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Правовая граница.</w:t>
            </w:r>
          </w:p>
        </w:tc>
      </w:tr>
      <w:tr>
        <w:trPr>
          <w:cantSplit/>
        </w:trPr>
        <w:tc>
          <w:tcPr>
            <w:tcW w:type="dxa" w:w="123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10.10.2006</w:t>
            </w:r>
          </w:p>
        </w:tc>
        <w:tc>
          <w:tcPr>
            <w:tcW w:type="dxa" w:w="33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Свердловская область ограничивает продажу ряда кодеиновых средств, упоминая Codelac Phyto.</w:t>
            </w:r>
          </w:p>
        </w:tc>
        <w:tc>
          <w:tcPr>
            <w:tcW w:type="dxa" w:w="2203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Региональный Минздрав.</w:t>
            </w:r>
          </w:p>
        </w:tc>
        <w:tc>
          <w:tcPr>
            <w:tcW w:type="dxa" w:w="231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Официальный сигнал злоупотребления.</w:t>
            </w:r>
          </w:p>
        </w:tc>
      </w:tr>
      <w:tr>
        <w:trPr>
          <w:cantSplit/>
        </w:trPr>
        <w:tc>
          <w:tcPr>
            <w:tcW w:type="dxa" w:w="123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13.11.2006</w:t>
            </w:r>
          </w:p>
        </w:tc>
        <w:tc>
          <w:tcPr>
            <w:tcW w:type="dxa" w:w="33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Проверенный ролик с жидкой формой и Р/У № 002419/01.</w:t>
            </w:r>
          </w:p>
        </w:tc>
        <w:tc>
          <w:tcPr>
            <w:tcW w:type="dxa" w:w="220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Бренд Codelac; карточка ТНТ.</w:t>
            </w:r>
          </w:p>
        </w:tc>
        <w:tc>
          <w:tcPr>
            <w:tcW w:type="dxa" w:w="231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Эфир после вступления в силу ч. 9 ст. 24 Закона № 38-ФЗ.</w:t>
            </w:r>
          </w:p>
        </w:tc>
      </w:tr>
      <w:tr>
        <w:trPr>
          <w:cantSplit/>
        </w:trPr>
        <w:tc>
          <w:tcPr>
            <w:tcW w:type="dxa" w:w="123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04.12.2006 / 11.01.2007</w:t>
            </w:r>
          </w:p>
        </w:tc>
        <w:tc>
          <w:tcPr>
            <w:tcW w:type="dxa" w:w="33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Подписан / вступил в силу приказ № 823 с жидкой комбинацией 4,5 мг/5 мл.</w:t>
            </w:r>
          </w:p>
        </w:tc>
        <w:tc>
          <w:tcPr>
            <w:tcW w:type="dxa" w:w="2203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Министр М. Ю. Зурабов.</w:t>
            </w:r>
          </w:p>
        </w:tc>
        <w:tc>
          <w:tcPr>
            <w:tcW w:type="dxa" w:w="231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Федеральная OTC-позиция.</w:t>
            </w:r>
          </w:p>
        </w:tc>
      </w:tr>
      <w:tr>
        <w:trPr>
          <w:cantSplit/>
        </w:trPr>
        <w:tc>
          <w:tcPr>
            <w:tcW w:type="dxa" w:w="123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Май 2007</w:t>
            </w:r>
          </w:p>
        </w:tc>
        <w:tc>
          <w:tcPr>
            <w:tcW w:type="dxa" w:w="33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Вторичное IPO Augment; до over-allotment 40%, после — около 43%.</w:t>
            </w:r>
          </w:p>
        </w:tc>
        <w:tc>
          <w:tcPr>
            <w:tcW w:type="dxa" w:w="220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Augment; косвенные интересы в эмитенте до IPO: Харитонин 49%, Кульков 21%, Абрамович 17%, Швидлер 6%.</w:t>
            </w:r>
          </w:p>
        </w:tc>
        <w:tc>
          <w:tcPr>
            <w:tcW w:type="dxa" w:w="231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Монетизация стоимости продающим акционером.</w:t>
            </w:r>
          </w:p>
        </w:tc>
      </w:tr>
      <w:tr>
        <w:trPr>
          <w:cantSplit/>
        </w:trPr>
        <w:tc>
          <w:tcPr>
            <w:tcW w:type="dxa" w:w="123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13.08.2008</w:t>
            </w:r>
          </w:p>
        </w:tc>
        <w:tc>
          <w:tcPr>
            <w:tcW w:type="dxa" w:w="33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Доступная официальная редакция инструкции Р N002419/01-130808.</w:t>
            </w:r>
          </w:p>
        </w:tc>
        <w:tc>
          <w:tcPr>
            <w:tcW w:type="dxa" w:w="2203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ОАО «Фармстандарт-Лексредства».</w:t>
            </w:r>
          </w:p>
        </w:tc>
        <w:tc>
          <w:tcPr>
            <w:tcW w:type="dxa" w:w="231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Состав, 2+, зависимость, OTC.</w:t>
            </w:r>
          </w:p>
        </w:tc>
      </w:tr>
      <w:tr>
        <w:trPr>
          <w:cantSplit/>
        </w:trPr>
        <w:tc>
          <w:tcPr>
            <w:tcW w:type="dxa" w:w="123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02.09.2011</w:t>
            </w:r>
          </w:p>
        </w:tc>
        <w:tc>
          <w:tcPr>
            <w:tcW w:type="dxa" w:w="33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Александр Обухов указан Medical Director в официальном анонсе дня инвестора.</w:t>
            </w:r>
          </w:p>
        </w:tc>
        <w:tc>
          <w:tcPr>
            <w:tcW w:type="dxa" w:w="220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ОАО «Фармстандарт».</w:t>
            </w:r>
          </w:p>
        </w:tc>
        <w:tc>
          <w:tcPr>
            <w:tcW w:type="dxa" w:w="231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Официальное корпоративное подтверждение должности.</w:t>
            </w:r>
          </w:p>
        </w:tc>
      </w:tr>
      <w:tr>
        <w:trPr>
          <w:cantSplit/>
        </w:trPr>
        <w:tc>
          <w:tcPr>
            <w:tcW w:type="dxa" w:w="123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01.06.2012</w:t>
            </w:r>
          </w:p>
        </w:tc>
        <w:tc>
          <w:tcPr>
            <w:tcW w:type="dxa" w:w="331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Обязательный рецепт для малодозных кодеиновых комбинаций.</w:t>
            </w:r>
          </w:p>
        </w:tc>
        <w:tc>
          <w:tcPr>
            <w:tcW w:type="dxa" w:w="2203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Правительство РФ; «Фармстандарт».</w:t>
            </w:r>
          </w:p>
        </w:tc>
        <w:tc>
          <w:tcPr>
            <w:tcW w:type="dxa" w:w="231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Конец OTC-модели.</w:t>
            </w:r>
          </w:p>
        </w:tc>
      </w:tr>
      <w:tr>
        <w:trPr>
          <w:cantSplit/>
        </w:trPr>
        <w:tc>
          <w:tcPr>
            <w:tcW w:type="dxa" w:w="123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2012</w:t>
            </w:r>
          </w:p>
        </w:tc>
        <w:tc>
          <w:tcPr>
            <w:tcW w:type="dxa" w:w="331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Кодеиновый Codelac −68%; рост Broncho и Neo; увеличены маркетинговые расходы на Codelac.</w:t>
            </w:r>
          </w:p>
        </w:tc>
        <w:tc>
          <w:tcPr>
            <w:tcW w:type="dxa" w:w="220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ОАО «Фармстандарт»; руководство группы.</w:t>
            </w:r>
          </w:p>
        </w:tc>
        <w:tc>
          <w:tcPr>
            <w:tcW w:type="dxa" w:w="231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5"/>
              </w:rPr>
              <w:t>Коммерческая адаптация к регуляторному изменению.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11 / МОРАЛЬНО-ПРОФЕССИОНАЛЬНАЯ ОЦЕНКА</w:t>
      </w:r>
    </w:p>
    <w:p>
      <w:pPr>
        <w:pStyle w:val="Heading1"/>
      </w:pPr>
      <w:r>
        <w:t>Как распределялась ответственность между компанией, врачами-руководителями, бенефициарами и государством</w:t>
      </w:r>
    </w:p>
    <w:p>
      <w:pPr>
        <w:pStyle w:val="Deck"/>
      </w:pPr>
      <w:r>
        <w:t>Сначала указаны документированная функция и дата, затем — оценка исполнения именно этой функции.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3"/>
        <w:gridCol w:w="8899"/>
      </w:tblGrid>
      <w:tr>
        <w:trPr>
          <w:cantSplit/>
        </w:trPr>
        <w:tc>
          <w:tcPr>
            <w:tcW w:type="dxa" w:w="4795"/>
            <w:shd w:fill="9E242B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5"/>
            <w:shd w:fill="F8E9E9"/>
            <w:tcMar>
              <w:top w:w="15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</w:rPr>
              <w:t>Оценка модели</w:t>
            </w:r>
          </w:p>
          <w:p>
            <w:r>
              <w:t>Сочетание опиоида, детского возраста от двух лет, многодозового флакона, отпуска без рецепта и массового продвижения при слабой доказательной базе эффективности кодеина при детском кашле заслуживает жесткой отрицательной оценки. Это была коммерциализация предотвратимого педиатрического лекарственного риска.</w:t>
            </w:r>
          </w:p>
        </w:tc>
      </w:tr>
    </w:tbl>
    <w:p>
      <w:pPr>
        <w:spacing w:after="20"/>
      </w:pPr>
    </w:p>
    <w:p>
      <w:pPr>
        <w:pStyle w:val="Heading2"/>
      </w:pPr>
      <w:r>
        <w:t>Критерии оценки, действовавшие в исследуемый период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440"/>
        <w:gridCol w:w="5544"/>
        <w:gridCol w:w="2088"/>
      </w:tblGrid>
      <w:tr>
        <w:trPr>
          <w:tblHeader w:val="true"/>
        </w:trPr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Источник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Критерий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Адресат</w:t>
            </w:r>
          </w:p>
        </w:tc>
      </w:tr>
      <w:tr>
        <w:trPr>
          <w:cantSplit/>
        </w:trPr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WHO, 1988</w:t>
            </w:r>
          </w:p>
        </w:tc>
        <w:tc>
          <w:tcPr>
            <w:tcW w:type="dxa" w:w="55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Лекарственное продвижение должно быть точным, доказуемым, сбалансированным и не допускать пропусков, ведущих к неоправданному риску; наркотические средства не следует рекламировать населению.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Производитель, рекламодатель, маркетинг, PR, medical review.</w:t>
            </w:r>
          </w:p>
        </w:tc>
      </w:tr>
      <w:tr>
        <w:trPr>
          <w:cantSplit/>
        </w:trPr>
        <w:tc>
          <w:tcPr>
            <w:tcW w:type="dxa" w:w="14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IFAPP, 2003</w:t>
            </w:r>
          </w:p>
        </w:tc>
        <w:tc>
          <w:tcPr>
            <w:tcW w:type="dxa" w:w="55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Интерес пациента должен превалировать над интересом работодателя; для детей нужны данные, достаточные для оценки benefit–risk; рекламные claims должны опираться на качественные данные.</w:t>
            </w:r>
          </w:p>
        </w:tc>
        <w:tc>
          <w:tcPr>
            <w:tcW w:type="dxa" w:w="208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Врачи и медицинская функция фармацевтической компании.</w:t>
            </w:r>
          </w:p>
        </w:tc>
      </w:tr>
      <w:tr>
        <w:trPr>
          <w:cantSplit/>
        </w:trPr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WMA, 2006</w:t>
            </w:r>
          </w:p>
        </w:tc>
        <w:tc>
          <w:tcPr>
            <w:tcW w:type="dxa" w:w="55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Врач сохраняет независимость профессионального суждения, не допускает влияния личной выгоды и действует в интересах пациента.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Лица с подтвержденной квалификацией врача.</w:t>
            </w:r>
          </w:p>
        </w:tc>
      </w:tr>
      <w:tr>
        <w:trPr>
          <w:cantSplit/>
        </w:trPr>
        <w:tc>
          <w:tcPr>
            <w:tcW w:type="dxa" w:w="144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OECD, 2004</w:t>
            </w:r>
          </w:p>
        </w:tc>
        <w:tc>
          <w:tcPr>
            <w:tcW w:type="dxa" w:w="554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Совет директоров должен обеспечивать высокие этические стандарты, risk management, compliance и надзор за корпоративными коммуникациями.</w:t>
            </w:r>
          </w:p>
        </w:tc>
        <w:tc>
          <w:tcPr>
            <w:tcW w:type="dxa" w:w="208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Совет, председатель, CEO; для бенефициаров — ориентир ответственного контроля.</w:t>
            </w:r>
          </w:p>
        </w:tc>
      </w:tr>
      <w:tr>
        <w:trPr>
          <w:cantSplit/>
        </w:trPr>
        <w:tc>
          <w:tcPr>
            <w:tcW w:type="dxa" w:w="144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Россия, 2006–2012</w:t>
            </w:r>
          </w:p>
        </w:tc>
        <w:tc>
          <w:tcPr>
            <w:tcW w:type="dxa" w:w="554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 01.07.2006 ст. 24 № 38-ФЗ запрещала массовую рекламу лекарств с веществами списков II/III; с 2012 года № 323-ФЗ прямо закрепил приоритет охраны здоровья детей.</w:t>
            </w:r>
          </w:p>
        </w:tc>
        <w:tc>
          <w:tcPr>
            <w:tcW w:type="dxa" w:w="208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Компания, рекламная цепочка, регуляторы и должностные лица.</w:t>
            </w:r>
          </w:p>
        </w:tc>
      </w:tr>
    </w:tbl>
    <w:p>
      <w:pPr>
        <w:spacing w:after="20"/>
      </w:pPr>
    </w:p>
    <w:p>
      <w:r>
        <w:t>Критерии WHO, IFAPP, WMA и OECD используются здесь как морально-профессиональные ориентиры; нормы федеральных законов и акты об отпуске приведены отдельно в разделе 7.</w:t>
      </w:r>
    </w:p>
    <w:p>
      <w:r>
        <w:br w:type="page"/>
      </w:r>
    </w:p>
    <w:p>
      <w:pPr>
        <w:pStyle w:val="Kicker"/>
      </w:pPr>
      <w:r>
        <w:t>11 / КОМПАНИЯ</w:t>
      </w:r>
    </w:p>
    <w:p>
      <w:pPr>
        <w:pStyle w:val="Heading1"/>
      </w:pPr>
      <w:r>
        <w:t>Врачи и руководители профессиональных функций</w:t>
      </w:r>
    </w:p>
    <w:p>
      <w:pPr>
        <w:pStyle w:val="Deck"/>
      </w:pPr>
      <w:r>
        <w:t>Оценка относится к подтвержденной корпоративной функции в указанный период.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656"/>
        <w:gridCol w:w="2952"/>
        <w:gridCol w:w="4464"/>
      </w:tblGrid>
      <w:tr>
        <w:trPr>
          <w:tblHeader w:val="true"/>
        </w:trPr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Лицо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Роль и подготовка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Морально-профессиональная оценка</w:t>
            </w:r>
          </w:p>
        </w:tc>
      </w:tr>
      <w:tr>
        <w:trPr>
          <w:cantSplit/>
        </w:trPr>
        <w:tc>
          <w:tcPr>
            <w:tcW w:type="dxa" w:w="165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Игорь Крылов</w:t>
            </w:r>
          </w:p>
        </w:tc>
        <w:tc>
          <w:tcPr>
            <w:tcW w:type="dxa" w:w="295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CEO с 2003 года; член совета с мая 2006 года. Врач, ВМА им. С. М. Кирова, «лечебное дело».</w:t>
            </w:r>
          </w:p>
        </w:tc>
        <w:tc>
          <w:tcPr>
            <w:tcW w:type="dxa" w:w="446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Совмещение врачебной подготовки с высшей исполнительной властью создавало повышенную обязанность ставить доказанность и безопасность детей выше коммерческого роста. Сохранение массовой OTC-модели педиатрического опиоидного препарата при известных рисках и слабой доказательной базе является серьезным провалом медицинско-корпоративного руководства.</w:t>
            </w:r>
          </w:p>
        </w:tc>
      </w:tr>
      <w:tr>
        <w:trPr>
          <w:cantSplit/>
        </w:trPr>
        <w:tc>
          <w:tcPr>
            <w:tcW w:type="dxa" w:w="165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Ольга Медникова</w:t>
            </w:r>
          </w:p>
        </w:tc>
        <w:tc>
          <w:tcPr>
            <w:tcW w:type="dxa" w:w="295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Chief Sales &amp; Marketing Officer с 2004 года. Врач, «лечебное дело»; кандидат медицинских наук.</w:t>
            </w:r>
          </w:p>
        </w:tc>
        <w:tc>
          <w:tcPr>
            <w:tcW w:type="dxa" w:w="446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Это наиболее прямая функциональная связь с продажами и продвижением. В проверенных телероликах опиоидная природа, риск зависимости и угнетения дыхания не получали равно заметного раскрытия. Для врача и кандида медицинских наук такая коммуникационная модель является серьезной профессионально-этической несостоятельностью.</w:t>
            </w:r>
          </w:p>
        </w:tc>
      </w:tr>
      <w:tr>
        <w:trPr>
          <w:cantSplit/>
        </w:trPr>
        <w:tc>
          <w:tcPr>
            <w:tcW w:type="dxa" w:w="165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Ольга Лещанская</w:t>
            </w:r>
          </w:p>
        </w:tc>
        <w:tc>
          <w:tcPr>
            <w:tcW w:type="dxa" w:w="295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Head of Public Relations с сентября 2006 года; корпоративные коммуникации. Окончила РГМУ.</w:t>
            </w:r>
          </w:p>
        </w:tc>
        <w:tc>
          <w:tcPr>
            <w:tcW w:type="dxa" w:w="446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Медицинская подготовка и руководство публичными коммуникациями усиливали обязанность пропорционально раскрывать риски. Продвижение в период ее должности после вступления запрета ст. 24 № 38-ФЗ заслуживает строгой отрицательной оценки коммуникационной функции.</w:t>
            </w:r>
          </w:p>
        </w:tc>
      </w:tr>
      <w:tr>
        <w:trPr>
          <w:cantSplit/>
        </w:trPr>
        <w:tc>
          <w:tcPr>
            <w:tcW w:type="dxa" w:w="165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Александр Обухов</w:t>
            </w:r>
          </w:p>
        </w:tc>
        <w:tc>
          <w:tcPr>
            <w:tcW w:type="dxa" w:w="295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Medical Director к сентябрю 2011 года; вуз и специальность в публичной биогафии не указаны.</w:t>
            </w:r>
          </w:p>
        </w:tc>
        <w:tc>
          <w:tcPr>
            <w:tcW w:type="dxa" w:w="446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Медицинская функция в финальный период OTC несла обязанность обеспечить своевременную переоценку риска и ясную коммуникацию при переходе к рецепту. Его подтвержденная должность относится к 2011–2012 годам.</w:t>
            </w:r>
          </w:p>
        </w:tc>
      </w:tr>
    </w:tbl>
    <w:p>
      <w:pPr>
        <w:spacing w:after="20"/>
      </w:pPr>
    </w:p>
    <w:p>
      <w:pPr>
        <w:pStyle w:val="Heading2"/>
      </w:pPr>
      <w:r>
        <w:t>Производство, регистрация и фармаконадзор</w:t>
      </w:r>
    </w:p>
    <w:p>
      <w:r>
        <w:t>Евгений Прохода возглавлял предприятие-изготовитель; Елена Толстова указана как Head of Regulatory Department, а ее подпись стоит на титульном листе инструкции 2008 года; А. Н. Васильев указан там же как и. о. директора ИДКЭЛС. На том же листе напечатано «Без рецепта». Для производственной, регуляторной и экспертной функций это тяжелый профессиональный документ: он соединяет опиоид, возраст 2+ и OTC-отпуск.</w:t>
      </w:r>
    </w:p>
    <w:p>
      <w:r>
        <w:br w:type="page"/>
      </w:r>
    </w:p>
    <w:p>
      <w:pPr>
        <w:pStyle w:val="Kicker"/>
      </w:pPr>
      <w:r>
        <w:t>11 / КОРПОРАТИВНОЕ УПРАВЛЕНИЕ</w:t>
      </w:r>
    </w:p>
    <w:p>
      <w:pPr>
        <w:pStyle w:val="Heading1"/>
      </w:pPr>
      <w:r>
        <w:t>Собственники, бенефициары и совет директоров</w:t>
      </w:r>
    </w:p>
    <w:p>
      <w:pPr>
        <w:pStyle w:val="Deck"/>
      </w:pPr>
      <w:r>
        <w:t>Экономический интерес сопоставлен с полномочиями контроля и надзора.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3384"/>
        <w:gridCol w:w="3816"/>
      </w:tblGrid>
      <w:tr>
        <w:trPr>
          <w:tblHeader w:val="true"/>
        </w:trPr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Лицо / орган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Документированная связь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Оценка</w:t>
            </w:r>
          </w:p>
        </w:tc>
      </w:tr>
      <w:tr>
        <w:trPr>
          <w:cantSplit/>
        </w:trPr>
        <w:tc>
          <w:tcPr>
            <w:tcW w:type="dxa" w:w="18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Виктор Харитонин</w:t>
            </w:r>
          </w:p>
        </w:tc>
        <w:tc>
          <w:tcPr>
            <w:tcW w:type="dxa" w:w="33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49% бенефициарного интереса в акциях эмитента через Augment до IPO; председатель совета с мая 2006; executive director.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Контроль, место в совете и экономический интерес создавали обязанность потребовать независимую педиатрическую оценку и защитные меры. Модель, в которой детский опиоидный препарат продвигался как массовый OTC-товар, обосновывает серьезную моральную ответственность корпоративного управления.</w:t>
            </w:r>
          </w:p>
        </w:tc>
      </w:tr>
      <w:tr>
        <w:trPr>
          <w:cantSplit/>
        </w:trPr>
        <w:tc>
          <w:tcPr>
            <w:tcW w:type="dxa" w:w="187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Егор Кульков</w:t>
            </w:r>
          </w:p>
        </w:tc>
        <w:tc>
          <w:tcPr>
            <w:tcW w:type="dxa" w:w="33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21% бенефициарного интереса до IPO; член совета с мая 2006 года.</w:t>
            </w:r>
          </w:p>
        </w:tc>
        <w:tc>
          <w:tcPr>
            <w:tcW w:type="dxa" w:w="38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Как крупный бенефициар и член совета он разделял моральную обязанность обеспечить risk management, compliance и приоритет здоровья детей.</w:t>
            </w:r>
          </w:p>
        </w:tc>
      </w:tr>
      <w:tr>
        <w:trPr>
          <w:cantSplit/>
        </w:trPr>
        <w:tc>
          <w:tcPr>
            <w:tcW w:type="dxa" w:w="18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Роман Абрамович и Евгений Швидлер</w:t>
            </w:r>
          </w:p>
        </w:tc>
        <w:tc>
          <w:tcPr>
            <w:tcW w:type="dxa" w:w="33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17% и 6% бенефициарного интереса в акциях эмитента через Augment до IPO; Миллхаус / Millhouse.</w:t>
            </w:r>
          </w:p>
        </w:tc>
        <w:tc>
          <w:tcPr>
            <w:tcW w:type="dxa" w:w="3816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Кодеиновые Codelac, Terpincod и Pentalgin-N/ICN давали 32,2% выручки группы в 2006 году. Значительное бенефициарное участие в таком портфеле создавало моральную обязанность требовать от совета и менеджмента защитные механизмы и независимый медицинский надзор.</w:t>
            </w:r>
          </w:p>
        </w:tc>
      </w:tr>
      <w:tr>
        <w:trPr>
          <w:cantSplit/>
        </w:trPr>
        <w:tc>
          <w:tcPr>
            <w:tcW w:type="dxa" w:w="187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Совет директоров</w:t>
            </w:r>
          </w:p>
        </w:tc>
        <w:tc>
          <w:tcPr>
            <w:tcW w:type="dxa" w:w="33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Определял стратегию и осуществлял надзор за высшим менеджментом.</w:t>
            </w:r>
          </w:p>
        </w:tc>
        <w:tc>
          <w:tcPr>
            <w:tcW w:type="dxa" w:w="3816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4"/>
              </w:rPr>
              <w:t>Защита детей, медицинский risk review, контроль рекламы и соответствие закону были обязанностями корпоративного надзора. Отсутствие видимого корпоративного вето на эту модель является серьезным провалом советного надзора.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11 / ГОСУДАРСТВЕННЫЕ РЕШЕНИЯ</w:t>
      </w:r>
    </w:p>
    <w:p>
      <w:pPr>
        <w:pStyle w:val="Heading1"/>
      </w:pPr>
      <w:r>
        <w:t>Подписанные акты и руководство лекарственным надзором</w:t>
      </w:r>
    </w:p>
    <w:p>
      <w:pPr>
        <w:pStyle w:val="Deck"/>
      </w:pPr>
      <w:r>
        <w:t>Для каждого лица указано персонально подписанное решение или институциональный результат в срок руководства.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84"/>
        <w:gridCol w:w="3960"/>
        <w:gridCol w:w="3528"/>
      </w:tblGrid>
      <w:tr>
        <w:trPr>
          <w:tblHeader w:val="true"/>
        </w:trPr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Лицо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Роль, подготовка и документированное действие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Оценка</w:t>
            </w:r>
          </w:p>
        </w:tc>
      </w:tr>
      <w:tr>
        <w:trPr>
          <w:cantSplit/>
        </w:trPr>
        <w:tc>
          <w:tcPr>
            <w:tcW w:type="dxa" w:w="15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Михаил Зурабов</w:t>
            </w:r>
          </w:p>
        </w:tc>
        <w:tc>
          <w:tcPr>
            <w:tcW w:type="dxa" w:w="396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Министр в 2004–2007; экономист-кибернетик. Подписал №578 и №823; последний включил в OTC-перечень жидкую кодеиновую композицию 4,5 мг/5 мл, 50/100/125 мл.</w:t>
            </w:r>
          </w:p>
        </w:tc>
        <w:tc>
          <w:tcPr>
            <w:tcW w:type="dxa" w:w="352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Федеральное расширение OTC-перечня этой композицией после официального регионального сигнала о злоупотреблении противоречило принципу предосторожности и особой защите детей. Это одно из наиболее ясно персонифицированных регуляторных решений.</w:t>
            </w:r>
          </w:p>
        </w:tc>
      </w:tr>
      <w:tr>
        <w:trPr>
          <w:cantSplit/>
        </w:trPr>
        <w:tc>
          <w:tcPr>
            <w:tcW w:type="dxa" w:w="15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Владимир Стародубов</w:t>
            </w:r>
          </w:p>
        </w:tc>
        <w:tc>
          <w:tcPr>
            <w:tcW w:type="dxa" w:w="396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Замминистр; врач, хирург, д.м.н. Как врио министра подписал №109 от 12.02.2007: не более двух упаковок одному покупателю, без перевода на рецепт.</w:t>
            </w:r>
          </w:p>
        </w:tc>
        <w:tc>
          <w:tcPr>
            <w:tcW w:type="dxa" w:w="352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Для врача, доктора медицинских наук и специалиста по организации здравоохранения двухупаковочный лимит при сохранении OTC был профессионально и морально недостаточной мерой управления риском опиоидного средства для детей.</w:t>
            </w:r>
          </w:p>
        </w:tc>
      </w:tr>
      <w:tr>
        <w:trPr>
          <w:cantSplit/>
        </w:trPr>
        <w:tc>
          <w:tcPr>
            <w:tcW w:type="dxa" w:w="158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Рамил Хабриев</w:t>
            </w:r>
          </w:p>
        </w:tc>
        <w:tc>
          <w:tcPr>
            <w:tcW w:type="dxa" w:w="396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Руководитель Росздравнадзора, 25.03.2004–05.03.2007. Врач; доктор медицинских и фармацевтических наук. В его срок пришлись запуск жидкой формы, кампания 2005 года и приказ №823.</w:t>
            </w:r>
          </w:p>
        </w:tc>
        <w:tc>
          <w:tcPr>
            <w:tcW w:type="dxa" w:w="3528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Медицинская и фармацевтическая квалификация усиливала обязанность возглавляемой службы требовать доказуемый benefit–risk и особые детские гарантии. Сохранение федеральной OTC-модели без таких видимых гарантий заслуживает строгой отрицательной оценки регуляторного управления.</w:t>
            </w:r>
          </w:p>
        </w:tc>
      </w:tr>
      <w:tr>
        <w:trPr>
          <w:cantSplit/>
        </w:trPr>
        <w:tc>
          <w:tcPr>
            <w:tcW w:type="dxa" w:w="1584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Николай Юргель</w:t>
            </w:r>
          </w:p>
        </w:tc>
        <w:tc>
          <w:tcPr>
            <w:tcW w:type="dxa" w:w="396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Руководитель Росздравнадзора, март 2007–06.02.2010. Врач-терапевт, д.м.н. В его срок служба знала конкретный сироп по отзыву серии, а 13.08.2008 была зарегистрирована редакция Р N002419/01: 2+, кодеин, «Без рецепта».</w:t>
            </w:r>
          </w:p>
        </w:tc>
        <w:tc>
          <w:tcPr>
            <w:tcW w:type="dxa" w:w="3528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Для врача и руководителя лекарственного регулятора институциональное подтверждение этой комбинации возраста, опиоида и OTC было серьезным профессиональным и моральным дефектом регуляторного управления.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Kicker"/>
      </w:pPr>
      <w:r>
        <w:t>11 / ГОСУДАРСТВЕННЫЕ РЕШЕНИЯ — ПРОДОЛЖЕНИЕ</w:t>
      </w:r>
    </w:p>
    <w:p>
      <w:pPr>
        <w:pStyle w:val="Heading1"/>
      </w:pPr>
      <w:r>
        <w:t>Отсрочка рецепта, медицинская позиция и контроль рекламы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3672"/>
        <w:gridCol w:w="3600"/>
      </w:tblGrid>
      <w:tr>
        <w:trPr>
          <w:tblHeader w:val="true"/>
        </w:trPr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Лицо / орган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Факт</w:t>
            </w:r>
          </w:p>
        </w:tc>
        <w:tc>
          <w:tcPr>
            <w:tcW w:type="dxa" w:w="3197"/>
            <w:shd w:fill="11182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Оценка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Татьяна Голикова</w:t>
            </w:r>
          </w:p>
        </w:tc>
        <w:tc>
          <w:tcPr>
            <w:tcW w:type="dxa" w:w="36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Министр, 24.09.2007–21.05.2012; экономист. В ее срок прошла регистрация 2008 года. В 2011 году объявила о рецепте с 01.06.2012; подписала №1000ан об отмене старых OTC-перечней и №562н о рецептурном порядке.</w:t>
            </w:r>
          </w:p>
        </w:tc>
        <w:tc>
          <w:tcPr>
            <w:tcW w:type="dxa" w:w="36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Ее срок включает и продолжение OTC-режима, и его прекращение. Отсрочка более чем на десять месяцев после постановления №599 продлила свободный доступ. Для опиоидных комбинаций такая несвоевременность заслуживает строгой отрицательной оценки.</w:t>
            </w:r>
          </w:p>
        </w:tc>
      </w:tr>
      <w:tr>
        <w:trPr>
          <w:cantSplit/>
        </w:trPr>
        <w:tc>
          <w:tcPr>
            <w:tcW w:type="dxa" w:w="180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Вероника Скворцова</w:t>
            </w:r>
          </w:p>
        </w:tc>
        <w:tc>
          <w:tcPr>
            <w:tcW w:type="dxa" w:w="367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Врач-невролог, д.м.н.; замминистр с июля 2008 года. Подписала письмо от 23.04.2012 о рецептурном отпуске с 01.06.2012 и подготовке регионов.</w:t>
            </w:r>
          </w:p>
        </w:tc>
        <w:tc>
          <w:tcPr>
            <w:tcW w:type="dxa" w:w="360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Письмо было необходимой корректирующей мерой. Однако срок врача-замминистра с 2008 года охватывал почти четыре года сохранения OTC; медицинская квалификация усиливала обязанность добиваться более ранней переоценки детского опиоидного препарата.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Евгений Брюн</w:t>
            </w:r>
          </w:p>
        </w:tc>
        <w:tc>
          <w:tcPr>
            <w:tcW w:type="dxa" w:w="36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Главный нарколог; врач-психиатр-нарколог, д.м.н. 16.05.2011 публично призвал не «демонизировать» кодеиновые препараты и назвал проблему «скорее полицейской».</w:t>
            </w:r>
          </w:p>
        </w:tc>
        <w:tc>
          <w:tcPr>
            <w:tcW w:type="dxa" w:w="36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Перенос центра ответственности с дизайна лекарственного регулирования на поведение аптек и полицию недооценивал системный характер свободного доступа. Для главного нарколога это была профессионально неудачная коммуникация риска.</w:t>
            </w:r>
          </w:p>
        </w:tc>
      </w:tr>
      <w:tr>
        <w:trPr>
          <w:cantSplit/>
        </w:trPr>
        <w:tc>
          <w:tcPr>
            <w:tcW w:type="dxa" w:w="180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Владимир Путин / Правительство</w:t>
            </w:r>
          </w:p>
        </w:tc>
        <w:tc>
          <w:tcPr>
            <w:tcW w:type="dxa" w:w="3672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Как Президент подписал №38-ФЗ в 2006 году; как Председатель Правительства подписал №599 от 20.07.2011: рецепт, но специальная норма для кодеина — с 01.06.2012.</w:t>
            </w:r>
          </w:p>
        </w:tc>
        <w:tc>
          <w:tcPr>
            <w:tcW w:type="dxa" w:w="3600"/>
            <w:shd w:fill="F2F4F5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Постановление исправило режим, но одновременно закрепило более чем десятимесячную отсрочку. При публично описанном риске дезоморфина и свободной продаже опиоидных средств такая отсрочка морально уязвима.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ФАС / Игорь Артемьев</w:t>
            </w:r>
          </w:p>
        </w:tc>
        <w:tc>
          <w:tcPr>
            <w:tcW w:type="dxa" w:w="3672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Артемьев возглавлял ФАС в 2004–2020 годах. Ст. 33 №38-ФЗ возлагала на антимонопольный орган надзор за рекламой. Проверенные копии показывают публичное распространение рекламы Codelac с жидкой формой в 2006–2007 годах.</w:t>
            </w:r>
          </w:p>
        </w:tc>
        <w:tc>
          <w:tcPr>
            <w:tcW w:type="dxa" w:w="3600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line="252" w:lineRule="auto"/>
            </w:pPr>
            <w:r>
              <w:rPr>
                <w:sz w:val="13"/>
              </w:rPr>
              <w:t>Публичное распространение после вступления в силу ч. 9 ст. 24 показывает, что система рекламного надзора не предотвратила повторное массовое продвижение. Это серьезный институциональный провал защитной функции.</w:t>
            </w:r>
          </w:p>
        </w:tc>
      </w:tr>
    </w:tbl>
    <w:p>
      <w:pPr>
        <w:spacing w:after="20"/>
      </w:pPr>
    </w:p>
    <w:p>
      <w:pPr>
        <w:pStyle w:val="Heading2"/>
      </w:pPr>
      <w:r>
        <w:t>Документированный контраст: позиция ФСКН</w:t>
      </w:r>
    </w:p>
    <w:p>
      <w:r>
        <w:t>22 апреля 2010 года директор ФСКН Виктор Иванов публично сообщил о распространении дезоморфина из аптечных препаратов и предложил ограничить рекламу кодеинсодержащих лекарств и перевести ряд из них на рецепт. Это был пубичный предметный сигнал и конкретное предложение за два года до федерального введения рецепта.</w:t>
      </w:r>
    </w:p>
    <w:p>
      <w:r>
        <w:br w:type="page"/>
      </w:r>
    </w:p>
    <w:p>
      <w:pPr>
        <w:pStyle w:val="Kicker"/>
      </w:pPr>
      <w:r>
        <w:t>12 / ИСТОЧНИКИ</w:t>
      </w:r>
    </w:p>
    <w:p>
      <w:pPr>
        <w:pStyle w:val="Heading1"/>
      </w:pPr>
      <w:r>
        <w:t>Реестр первичных и проверочных материалов</w:t>
      </w:r>
    </w:p>
    <w:p>
      <w:pPr>
        <w:pStyle w:val="Deck"/>
      </w:pPr>
      <w:r>
        <w:t>Ссылки кликабельны в DOCX и PDF. Для ключевых утверждений приложены копии страниц.</w:t>
      </w:r>
    </w:p>
    <w:p>
      <w:pPr>
        <w:pStyle w:val="Source"/>
      </w:pPr>
      <w:r>
        <w:rPr>
          <w:b/>
        </w:rPr>
        <w:t xml:space="preserve">[S01] ГРЛС Минздрава России: историческая карточка Codelac Phyto Р N002419/01. </w:t>
      </w:r>
      <w:hyperlink r:id="rId27">
        <w:r>
          <w:rPr>
            <w:color w:val="2F6488"/>
            <w:u w:val="single"/>
          </w:rPr>
          <w:t>Открыть источник</w:t>
        </w:r>
      </w:hyperlink>
      <w:r>
        <w:t xml:space="preserve"> — форма, производитель, упаковки, OTC</w:t>
      </w:r>
    </w:p>
    <w:p>
      <w:pPr>
        <w:pStyle w:val="Source"/>
      </w:pPr>
      <w:r>
        <w:rPr>
          <w:b/>
        </w:rPr>
        <w:t xml:space="preserve">[S02] ГРЛС: официальный скан инструкции Р N002419/01-130808. </w:t>
      </w:r>
      <w:hyperlink r:id="rId28">
        <w:r>
          <w:rPr>
            <w:color w:val="2F6488"/>
            <w:u w:val="single"/>
          </w:rPr>
          <w:t>Открыть источник</w:t>
        </w:r>
      </w:hyperlink>
      <w:r>
        <w:t xml:space="preserve"> — состав, 2+, доза, зависимость, дыхание, OTC</w:t>
      </w:r>
    </w:p>
    <w:p>
      <w:pPr>
        <w:pStyle w:val="Source"/>
      </w:pPr>
      <w:r>
        <w:rPr>
          <w:b/>
        </w:rPr>
        <w:t xml:space="preserve">[S03] Pharmstandard International Offering Memorandum / Prospectus, 2007. </w:t>
      </w:r>
      <w:hyperlink r:id="rId17">
        <w:r>
          <w:rPr>
            <w:color w:val="2F6488"/>
            <w:u w:val="single"/>
          </w:rPr>
          <w:t>Открыть источник</w:t>
        </w:r>
      </w:hyperlink>
      <w:r>
        <w:t xml:space="preserve"> — продукт, реклама, продажи, собственники, менеджмент</w:t>
      </w:r>
    </w:p>
    <w:p>
      <w:pPr>
        <w:pStyle w:val="Source"/>
      </w:pPr>
      <w:r>
        <w:rPr>
          <w:b/>
        </w:rPr>
        <w:t xml:space="preserve">[S04] Официальный релиз «Фармстандарта» о цене IPO, 04.05.2007. </w:t>
      </w:r>
      <w:hyperlink r:id="rId29">
        <w:r>
          <w:rPr>
            <w:color w:val="2F6488"/>
            <w:u w:val="single"/>
          </w:rPr>
          <w:t>Открыть источник</w:t>
        </w:r>
      </w:hyperlink>
      <w:r>
        <w:t xml:space="preserve"> — Augment как продающий акционер, вторичное предложение</w:t>
      </w:r>
    </w:p>
    <w:p>
      <w:pPr>
        <w:pStyle w:val="Source"/>
      </w:pPr>
      <w:r>
        <w:rPr>
          <w:b/>
        </w:rPr>
        <w:t xml:space="preserve">[S05] Официальный релиз об over-allotment, 11.05.2007. </w:t>
      </w:r>
      <w:hyperlink r:id="rId30">
        <w:r>
          <w:rPr>
            <w:color w:val="2F6488"/>
            <w:u w:val="single"/>
          </w:rPr>
          <w:t>Открыть источник</w:t>
        </w:r>
      </w:hyperlink>
      <w:r>
        <w:t xml:space="preserve"> — около $952 млн gross, около 43% акций</w:t>
      </w:r>
    </w:p>
    <w:p>
      <w:pPr>
        <w:pStyle w:val="Source"/>
      </w:pPr>
      <w:r>
        <w:rPr>
          <w:b/>
        </w:rPr>
        <w:t xml:space="preserve">[S06] Официальный релиз о переходе 17% Augment, 27.03.2008. </w:t>
      </w:r>
      <w:hyperlink r:id="rId31">
        <w:r>
          <w:rPr>
            <w:color w:val="2F6488"/>
            <w:u w:val="single"/>
          </w:rPr>
          <w:t>Открыть источник</w:t>
        </w:r>
      </w:hyperlink>
      <w:r>
        <w:t xml:space="preserve"> — Абрамович, Швидлер, Millhouse, Харитонин, Кульков</w:t>
      </w:r>
    </w:p>
    <w:p>
      <w:pPr>
        <w:pStyle w:val="Source"/>
      </w:pPr>
      <w:r>
        <w:rPr>
          <w:b/>
        </w:rPr>
        <w:t xml:space="preserve">[S07] Pharmstandard Annual Report 2012. </w:t>
      </w:r>
      <w:hyperlink r:id="rId32">
        <w:r>
          <w:rPr>
            <w:color w:val="2F6488"/>
            <w:u w:val="single"/>
          </w:rPr>
          <w:t>Открыть источник</w:t>
        </w:r>
      </w:hyperlink>
      <w:r>
        <w:t xml:space="preserve"> — Codelac с/без кодеина, Rx-переход, маркетинг</w:t>
      </w:r>
    </w:p>
    <w:p>
      <w:pPr>
        <w:pStyle w:val="Source"/>
      </w:pPr>
      <w:r>
        <w:rPr>
          <w:b/>
        </w:rPr>
        <w:t xml:space="preserve">[S08] Официальный результат заседания совета, 01.07.2011. </w:t>
      </w:r>
      <w:hyperlink r:id="rId33">
        <w:r>
          <w:rPr>
            <w:color w:val="2F6488"/>
            <w:u w:val="single"/>
          </w:rPr>
          <w:t>Открыть источник</w:t>
        </w:r>
      </w:hyperlink>
      <w:r>
        <w:t xml:space="preserve"> — Крылов и Медникова в правлении</w:t>
      </w:r>
    </w:p>
    <w:p>
      <w:pPr>
        <w:pStyle w:val="Source"/>
      </w:pPr>
      <w:r>
        <w:rPr>
          <w:b/>
        </w:rPr>
        <w:t xml:space="preserve">[S09] Pharmstandard Analyst &amp; Investor Day 2011. </w:t>
      </w:r>
      <w:hyperlink r:id="rId20">
        <w:r>
          <w:rPr>
            <w:color w:val="2F6488"/>
            <w:u w:val="single"/>
          </w:rPr>
          <w:t>Открыть источник</w:t>
        </w:r>
      </w:hyperlink>
      <w:r>
        <w:t xml:space="preserve"> — Alexander Obuhov — Medical Director</w:t>
      </w:r>
    </w:p>
    <w:p>
      <w:pPr>
        <w:pStyle w:val="Source"/>
      </w:pPr>
      <w:r>
        <w:rPr>
          <w:b/>
        </w:rPr>
        <w:t xml:space="preserve">[S10] Staroetv: СТС, 23.01.2005, карточка 13733. </w:t>
      </w:r>
      <w:hyperlink r:id="rId34">
        <w:r>
          <w:rPr>
            <w:color w:val="2F6488"/>
            <w:u w:val="single"/>
          </w:rPr>
          <w:t>Открыть источник</w:t>
        </w:r>
      </w:hyperlink>
      <w:r>
        <w:t xml:space="preserve"> — архивная копия рекламы</w:t>
      </w:r>
    </w:p>
    <w:p>
      <w:pPr>
        <w:pStyle w:val="Source"/>
      </w:pPr>
      <w:r>
        <w:rPr>
          <w:b/>
        </w:rPr>
        <w:t xml:space="preserve">[S11] Staroetv: Первый канал, 17.10.2005, карточка 34821. </w:t>
      </w:r>
      <w:hyperlink r:id="rId35">
        <w:r>
          <w:rPr>
            <w:color w:val="2F6488"/>
            <w:u w:val="single"/>
          </w:rPr>
          <w:t>Открыть источник</w:t>
        </w:r>
      </w:hyperlink>
      <w:r>
        <w:t xml:space="preserve"> — вторая копия креатива 2005</w:t>
      </w:r>
    </w:p>
    <w:p>
      <w:pPr>
        <w:pStyle w:val="Source"/>
      </w:pPr>
      <w:r>
        <w:rPr>
          <w:b/>
        </w:rPr>
        <w:t xml:space="preserve">[S12] Rutube: отдельная копия 20-секундного креатива. </w:t>
      </w:r>
      <w:hyperlink r:id="rId36">
        <w:r>
          <w:rPr>
            <w:color w:val="2F6488"/>
            <w:u w:val="single"/>
          </w:rPr>
          <w:t>Открыть источник</w:t>
        </w:r>
      </w:hyperlink>
      <w:r>
        <w:t xml:space="preserve"> — дополнительный аудиовизуальный носитель</w:t>
      </w:r>
    </w:p>
    <w:p>
      <w:pPr>
        <w:pStyle w:val="Source"/>
      </w:pPr>
      <w:r>
        <w:rPr>
          <w:b/>
        </w:rPr>
        <w:t xml:space="preserve">[S13] Staroetv: ТНТ, 13.11.2006, карточка 25868. </w:t>
      </w:r>
      <w:hyperlink r:id="rId37">
        <w:r>
          <w:rPr>
            <w:color w:val="2F6488"/>
            <w:u w:val="single"/>
          </w:rPr>
          <w:t>Открыть источник</w:t>
        </w:r>
      </w:hyperlink>
      <w:r>
        <w:t xml:space="preserve"> — Р/У № 002419/01 и детская формула</w:t>
      </w:r>
    </w:p>
    <w:p>
      <w:pPr>
        <w:pStyle w:val="Source"/>
      </w:pPr>
      <w:r>
        <w:rPr>
          <w:b/>
        </w:rPr>
        <w:t xml:space="preserve">[S14] Staroetv: Россия, 12.03.2007, карточка 13418. </w:t>
      </w:r>
      <w:hyperlink r:id="rId38">
        <w:r>
          <w:rPr>
            <w:color w:val="2F6488"/>
            <w:u w:val="single"/>
          </w:rPr>
          <w:t>Открыть источник</w:t>
        </w:r>
      </w:hyperlink>
      <w:r>
        <w:t xml:space="preserve"> — короткий финал 2007</w:t>
      </w:r>
    </w:p>
    <w:p>
      <w:pPr>
        <w:pStyle w:val="Source"/>
      </w:pPr>
      <w:r>
        <w:rPr>
          <w:b/>
        </w:rPr>
        <w:t xml:space="preserve">[S15] Staroetv: Первый канал, 26.11.2007, карточка 34877. </w:t>
      </w:r>
      <w:hyperlink r:id="rId39">
        <w:r>
          <w:rPr>
            <w:color w:val="2F6488"/>
            <w:u w:val="single"/>
          </w:rPr>
          <w:t>Открыть источник</w:t>
        </w:r>
      </w:hyperlink>
      <w:r>
        <w:t xml:space="preserve"> — короткий финал 2007</w:t>
      </w:r>
    </w:p>
    <w:p>
      <w:pPr>
        <w:pStyle w:val="Source"/>
      </w:pPr>
      <w:r>
        <w:rPr>
          <w:b/>
        </w:rPr>
        <w:t xml:space="preserve">[S16] Федеральный закон № 38-ФЗ «О рекламе». </w:t>
      </w:r>
      <w:hyperlink r:id="rId40">
        <w:r>
          <w:rPr>
            <w:color w:val="2F6488"/>
            <w:u w:val="single"/>
          </w:rPr>
          <w:t>Открыть источник</w:t>
        </w:r>
      </w:hyperlink>
      <w:r>
        <w:t xml:space="preserve"> — статья 24 и дата вступления</w:t>
      </w:r>
    </w:p>
    <w:p>
      <w:pPr>
        <w:pStyle w:val="Source"/>
      </w:pPr>
      <w:r>
        <w:rPr>
          <w:b/>
        </w:rPr>
        <w:t xml:space="preserve">[S17] Постановление Правительства РФ № 681. </w:t>
      </w:r>
      <w:hyperlink r:id="rId41">
        <w:r>
          <w:rPr>
            <w:color w:val="2F6488"/>
            <w:u w:val="single"/>
          </w:rPr>
          <w:t>Открыть источник</w:t>
        </w:r>
      </w:hyperlink>
      <w:r>
        <w:t xml:space="preserve"> — кодеин и кодеина фосфат в Списке II</w:t>
      </w:r>
    </w:p>
    <w:p>
      <w:pPr>
        <w:pStyle w:val="Source"/>
      </w:pPr>
      <w:r>
        <w:rPr>
          <w:b/>
        </w:rPr>
        <w:t xml:space="preserve">[S18] Приказ Минздравсоцразвития № 578 от 13.09.2005. </w:t>
      </w:r>
      <w:hyperlink r:id="rId42">
        <w:r>
          <w:rPr>
            <w:color w:val="2F6488"/>
            <w:u w:val="single"/>
          </w:rPr>
          <w:t>Открыть источник</w:t>
        </w:r>
      </w:hyperlink>
      <w:r>
        <w:t xml:space="preserve"> — OTC-перечень</w:t>
      </w:r>
    </w:p>
    <w:p>
      <w:pPr>
        <w:pStyle w:val="Source"/>
      </w:pPr>
      <w:r>
        <w:rPr>
          <w:b/>
        </w:rPr>
        <w:t xml:space="preserve">[S19] Приказ Минздравсоцразвития № 823 от 04.12.2006. </w:t>
      </w:r>
      <w:hyperlink r:id="rId43">
        <w:r>
          <w:rPr>
            <w:color w:val="2F6488"/>
            <w:u w:val="single"/>
          </w:rPr>
          <w:t>Открыть источник</w:t>
        </w:r>
      </w:hyperlink>
      <w:r>
        <w:t xml:space="preserve"> — жидкая кодеиновая композиция</w:t>
      </w:r>
    </w:p>
    <w:p>
      <w:pPr>
        <w:pStyle w:val="Source"/>
      </w:pPr>
      <w:r>
        <w:rPr>
          <w:b/>
        </w:rPr>
        <w:t xml:space="preserve">[S20] Постановление Правительства РФ № 599 от 20.07.2011. </w:t>
      </w:r>
      <w:hyperlink r:id="rId44">
        <w:r>
          <w:rPr>
            <w:color w:val="2F6488"/>
            <w:u w:val="single"/>
          </w:rPr>
          <w:t>Открыть источник</w:t>
        </w:r>
      </w:hyperlink>
      <w:r>
        <w:t xml:space="preserve"> — обязательный рецепт с 01.06.2012</w:t>
      </w:r>
    </w:p>
    <w:p>
      <w:pPr>
        <w:pStyle w:val="Source"/>
      </w:pPr>
      <w:r>
        <w:rPr>
          <w:b/>
        </w:rPr>
        <w:t xml:space="preserve">[S21] Приказ № 562н от 17.05.2012. </w:t>
      </w:r>
      <w:hyperlink r:id="rId45">
        <w:r>
          <w:rPr>
            <w:color w:val="2F6488"/>
            <w:u w:val="single"/>
          </w:rPr>
          <w:t>Открыть источник</w:t>
        </w:r>
      </w:hyperlink>
      <w:r>
        <w:t xml:space="preserve"> — рецептурная форма</w:t>
      </w:r>
    </w:p>
    <w:p>
      <w:pPr>
        <w:pStyle w:val="Source"/>
      </w:pPr>
      <w:r>
        <w:rPr>
          <w:b/>
        </w:rPr>
        <w:t xml:space="preserve">[S22] Приказ Минздрава Свердловской области № 801-п от 10.10.2006. </w:t>
      </w:r>
      <w:hyperlink r:id="rId46">
        <w:r>
          <w:rPr>
            <w:color w:val="2F6488"/>
            <w:u w:val="single"/>
          </w:rPr>
          <w:t>Открыть источник</w:t>
        </w:r>
      </w:hyperlink>
      <w:r>
        <w:t xml:space="preserve"> — злоупотребление, одна упаковка, рекомендация 18+</w:t>
      </w:r>
    </w:p>
    <w:p>
      <w:pPr>
        <w:pStyle w:val="Source"/>
      </w:pPr>
      <w:r>
        <w:rPr>
          <w:b/>
        </w:rPr>
        <w:t xml:space="preserve">[S23] WHO, Cough and cold remedies for the treatment of acute respiratory infections in young children, 2001. </w:t>
      </w:r>
      <w:hyperlink r:id="rId47">
        <w:r>
          <w:rPr>
            <w:color w:val="2F6488"/>
            <w:u w:val="single"/>
          </w:rPr>
          <w:t>Открыть источник</w:t>
        </w:r>
      </w:hyperlink>
      <w:r>
        <w:t xml:space="preserve"> — рекомендация не использовать codeine у маленьких детей</w:t>
      </w:r>
    </w:p>
    <w:p>
      <w:pPr>
        <w:pStyle w:val="Source"/>
      </w:pPr>
      <w:r>
        <w:rPr>
          <w:b/>
        </w:rPr>
        <w:t xml:space="preserve">[S24] Taylor et al., 1993, randomized trial of codeine/guaifenesin in children. </w:t>
      </w:r>
      <w:hyperlink r:id="rId48">
        <w:r>
          <w:rPr>
            <w:color w:val="2F6488"/>
            <w:u w:val="single"/>
          </w:rPr>
          <w:t>Открыть источник</w:t>
        </w:r>
      </w:hyperlink>
      <w:r>
        <w:t xml:space="preserve"> — не показано превосходство над placebo</w:t>
      </w:r>
    </w:p>
    <w:p>
      <w:pPr>
        <w:pStyle w:val="Source"/>
      </w:pPr>
      <w:r>
        <w:rPr>
          <w:b/>
        </w:rPr>
        <w:t xml:space="preserve">[S25] AAP Committee on Drugs, 1997. </w:t>
      </w:r>
      <w:hyperlink r:id="rId49">
        <w:r>
          <w:rPr>
            <w:color w:val="2F6488"/>
            <w:u w:val="single"/>
          </w:rPr>
          <w:t>Открыть источник</w:t>
        </w:r>
      </w:hyperlink>
      <w:r>
        <w:t xml:space="preserve"> — эффективность и риски кодеиновых средств у детей</w:t>
      </w:r>
    </w:p>
    <w:p>
      <w:pPr>
        <w:pStyle w:val="Source"/>
      </w:pPr>
      <w:r>
        <w:rPr>
          <w:b/>
        </w:rPr>
        <w:t xml:space="preserve">[S26] Williams et al., 2002, CYP2D6 variability in children. </w:t>
      </w:r>
      <w:hyperlink r:id="rId50">
        <w:r>
          <w:rPr>
            <w:color w:val="2F6488"/>
            <w:u w:val="single"/>
          </w:rPr>
          <w:t>Открыть источник</w:t>
        </w:r>
      </w:hyperlink>
      <w:r>
        <w:t xml:space="preserve"> — вариабельность образования морфина</w:t>
      </w:r>
    </w:p>
    <w:p>
      <w:pPr>
        <w:pStyle w:val="Source"/>
      </w:pPr>
      <w:r>
        <w:rPr>
          <w:b/>
        </w:rPr>
        <w:t xml:space="preserve">[S27] Gaikovitch et al., 2003, CYP2D6 in Russian population. </w:t>
      </w:r>
      <w:hyperlink r:id="rId51">
        <w:r>
          <w:rPr>
            <w:color w:val="2F6488"/>
            <w:u w:val="single"/>
          </w:rPr>
          <w:t>Открыть источник</w:t>
        </w:r>
      </w:hyperlink>
      <w:r>
        <w:t xml:space="preserve"> — UM 3,4% в выборке Воронежа</w:t>
      </w:r>
    </w:p>
    <w:p>
      <w:pPr>
        <w:pStyle w:val="Source"/>
      </w:pPr>
      <w:r>
        <w:rPr>
          <w:b/>
        </w:rPr>
        <w:t xml:space="preserve">[S28] Gasche et al., 2004, codeine intoxication with ultrarapid metabolism. </w:t>
      </w:r>
      <w:hyperlink r:id="rId52">
        <w:r>
          <w:rPr>
            <w:color w:val="2F6488"/>
            <w:u w:val="single"/>
          </w:rPr>
          <w:t>Открыть источник</w:t>
        </w:r>
      </w:hyperlink>
      <w:r>
        <w:t xml:space="preserve"> — механизм клинической токсичности</w:t>
      </w:r>
    </w:p>
    <w:p>
      <w:pPr>
        <w:pStyle w:val="Source"/>
      </w:pPr>
      <w:r>
        <w:rPr>
          <w:b/>
        </w:rPr>
        <w:t xml:space="preserve">[S29] Ciszkowski et al., 2009, codeine and fatal morphine intoxication. </w:t>
      </w:r>
      <w:hyperlink r:id="rId53">
        <w:r>
          <w:rPr>
            <w:color w:val="2F6488"/>
            <w:u w:val="single"/>
          </w:rPr>
          <w:t>Открыть источник</w:t>
        </w:r>
      </w:hyperlink>
      <w:r>
        <w:t xml:space="preserve"> — фатальный случай 2-летнего ребенка; иная доза/контекст</w:t>
      </w:r>
    </w:p>
    <w:p>
      <w:pPr>
        <w:pStyle w:val="Source"/>
      </w:pPr>
      <w:r>
        <w:rPr>
          <w:b/>
        </w:rPr>
        <w:t xml:space="preserve">[S30] MHRA/CHM, codeine-containing liquid OTC medicines, 2010. </w:t>
      </w:r>
      <w:hyperlink r:id="rId54">
        <w:r>
          <w:rPr>
            <w:color w:val="2F6488"/>
            <w:u w:val="single"/>
          </w:rPr>
          <w:t>Открыть источник</w:t>
        </w:r>
      </w:hyperlink>
      <w:r>
        <w:t xml:space="preserve"> — не применять младше 18</w:t>
      </w:r>
    </w:p>
    <w:p>
      <w:pPr>
        <w:pStyle w:val="Source"/>
      </w:pPr>
      <w:r>
        <w:rPr>
          <w:b/>
        </w:rPr>
        <w:t xml:space="preserve">[S31] DailyMed: promethazine with codeine label. </w:t>
      </w:r>
      <w:hyperlink r:id="rId55">
        <w:r>
          <w:rPr>
            <w:color w:val="2F6488"/>
            <w:u w:val="single"/>
          </w:rPr>
          <w:t>Открыть источник</w:t>
        </w:r>
      </w:hyperlink>
      <w:r>
        <w:t xml:space="preserve"> — Rx only, 6+, дыхательные предупреждения</w:t>
      </w:r>
    </w:p>
    <w:p>
      <w:pPr>
        <w:pStyle w:val="Source"/>
      </w:pPr>
      <w:r>
        <w:rPr>
          <w:b/>
        </w:rPr>
        <w:t xml:space="preserve">[S32] US Code of Federal Regulations, 21 CFR 1306.26. </w:t>
      </w:r>
      <w:hyperlink r:id="rId56">
        <w:r>
          <w:rPr>
            <w:color w:val="2F6488"/>
            <w:u w:val="single"/>
          </w:rPr>
          <w:t>Открыть источник</w:t>
        </w:r>
      </w:hyperlink>
      <w:r>
        <w:t xml:space="preserve"> — pharmacist, adult buyer, ID/log for Schedule V</w:t>
      </w:r>
    </w:p>
    <w:p>
      <w:pPr>
        <w:pStyle w:val="Source"/>
      </w:pPr>
      <w:r>
        <w:rPr>
          <w:b/>
        </w:rPr>
        <w:t xml:space="preserve">[S33] Health Canada, historical section 36. </w:t>
      </w:r>
      <w:hyperlink r:id="rId57">
        <w:r>
          <w:rPr>
            <w:color w:val="2F6488"/>
            <w:u w:val="single"/>
          </w:rPr>
          <w:t>Открыть источник</w:t>
        </w:r>
      </w:hyperlink>
      <w:r>
        <w:t xml:space="preserve"> — низкодозное исключение</w:t>
      </w:r>
    </w:p>
    <w:p>
      <w:pPr>
        <w:pStyle w:val="Source"/>
      </w:pPr>
      <w:r>
        <w:rPr>
          <w:b/>
        </w:rPr>
        <w:t xml:space="preserve">[S34] Health Canada pediatric cough/cold labeling standard, 2009. </w:t>
      </w:r>
      <w:hyperlink r:id="rId58">
        <w:r>
          <w:rPr>
            <w:color w:val="2F6488"/>
            <w:u w:val="single"/>
          </w:rPr>
          <w:t>Открыть источник</w:t>
        </w:r>
      </w:hyperlink>
      <w:r>
        <w:t xml:space="preserve"> — детские ограничения</w:t>
      </w:r>
    </w:p>
    <w:p>
      <w:pPr>
        <w:pStyle w:val="Source"/>
      </w:pPr>
      <w:r>
        <w:rPr>
          <w:b/>
        </w:rPr>
        <w:t xml:space="preserve">[S35] Australian Prescriber/TGA, Medicines Safety Update, 2012. </w:t>
      </w:r>
      <w:hyperlink r:id="rId59">
        <w:r>
          <w:rPr>
            <w:color w:val="2F6488"/>
            <w:u w:val="single"/>
          </w:rPr>
          <w:t>Открыть источник</w:t>
        </w:r>
      </w:hyperlink>
      <w:r>
        <w:t xml:space="preserve"> — младше 6 — не применять; 6–11 — профессиональный совет</w:t>
      </w:r>
    </w:p>
    <w:p>
      <w:pPr>
        <w:pStyle w:val="Source"/>
      </w:pPr>
      <w:r>
        <w:rPr>
          <w:b/>
        </w:rPr>
        <w:t xml:space="preserve">[S36] BfArM: codeine cough medicines, historical age change. </w:t>
      </w:r>
      <w:hyperlink r:id="rId60">
        <w:r>
          <w:rPr>
            <w:color w:val="2F6488"/>
            <w:u w:val="single"/>
          </w:rPr>
          <w:t>Открыть источник</w:t>
        </w:r>
      </w:hyperlink>
      <w:r>
        <w:t xml:space="preserve"> — немецкие рецептурные формы 2+ до 2013</w:t>
      </w:r>
    </w:p>
    <w:p>
      <w:pPr>
        <w:pStyle w:val="Source"/>
      </w:pPr>
      <w:r>
        <w:rPr>
          <w:b/>
        </w:rPr>
        <w:t xml:space="preserve">[S37] EMA, restrictions on codeine for pain relief in children, 2013. </w:t>
      </w:r>
      <w:hyperlink r:id="rId61">
        <w:r>
          <w:rPr>
            <w:color w:val="2F6488"/>
            <w:u w:val="single"/>
          </w:rPr>
          <w:t>Открыть источник</w:t>
        </w:r>
      </w:hyperlink>
      <w:r>
        <w:t xml:space="preserve"> — акт о боли, не о кашле</w:t>
      </w:r>
    </w:p>
    <w:p>
      <w:pPr>
        <w:pStyle w:val="Source"/>
      </w:pPr>
      <w:r>
        <w:rPr>
          <w:b/>
        </w:rPr>
        <w:t xml:space="preserve">[S38] The Guardian, Abramovich CV, 24.12.2006. </w:t>
      </w:r>
      <w:hyperlink r:id="rId62">
        <w:r>
          <w:rPr>
            <w:color w:val="2F6488"/>
            <w:u w:val="single"/>
          </w:rPr>
          <w:t>Открыть источник</w:t>
        </w:r>
      </w:hyperlink>
      <w:r>
        <w:t xml:space="preserve"> — публичный биографический источник об образовании</w:t>
      </w:r>
    </w:p>
    <w:p>
      <w:pPr>
        <w:pStyle w:val="Source"/>
      </w:pPr>
      <w:r>
        <w:rPr>
          <w:b/>
        </w:rPr>
        <w:t xml:space="preserve">[S39] AFC Energy RNS, appointment of Eugene Shvidler, 10.01.2013. </w:t>
      </w:r>
      <w:hyperlink r:id="rId63">
        <w:r>
          <w:rPr>
            <w:color w:val="2F6488"/>
            <w:u w:val="single"/>
          </w:rPr>
          <w:t>Открыть источник</w:t>
        </w:r>
      </w:hyperlink>
      <w:r>
        <w:t xml:space="preserve"> — прикладная математика, MBA, международное налогообложение</w:t>
      </w:r>
    </w:p>
    <w:p>
      <w:pPr>
        <w:pStyle w:val="Source"/>
      </w:pPr>
      <w:r>
        <w:rPr>
          <w:b/>
        </w:rPr>
        <w:t xml:space="preserve">[S40] Forbes historical profile of Eugene Shvidler. </w:t>
      </w:r>
      <w:hyperlink r:id="rId64">
        <w:r>
          <w:rPr>
            <w:color w:val="2F6488"/>
            <w:u w:val="single"/>
          </w:rPr>
          <w:t>Открыть источник</w:t>
        </w:r>
      </w:hyperlink>
      <w:r>
        <w:t xml:space="preserve"> — нефтегазовое и бизнес-образование</w:t>
      </w:r>
    </w:p>
    <w:p>
      <w:pPr>
        <w:pStyle w:val="Source"/>
      </w:pPr>
      <w:r>
        <w:rPr>
          <w:b/>
        </w:rPr>
        <w:t xml:space="preserve">[S41] Pharmstandard Annual Report 2009. </w:t>
      </w:r>
      <w:hyperlink r:id="rId65">
        <w:r>
          <w:rPr>
            <w:color w:val="2F6488"/>
            <w:u w:val="single"/>
          </w:rPr>
          <w:t>Открыть источник</w:t>
        </w:r>
      </w:hyperlink>
      <w:r>
        <w:t xml:space="preserve"> — Елена Толстова, Сергей Барыкин, фармаконадзор</w:t>
      </w:r>
    </w:p>
    <w:p>
      <w:pPr>
        <w:pStyle w:val="Source"/>
      </w:pPr>
      <w:r>
        <w:rPr>
          <w:b/>
        </w:rPr>
        <w:t xml:space="preserve">[S42] Pharmstandard Annual Report 2011. </w:t>
      </w:r>
      <w:hyperlink r:id="rId66">
        <w:r>
          <w:rPr>
            <w:color w:val="2F6488"/>
            <w:u w:val="single"/>
          </w:rPr>
          <w:t>Открыть источник</w:t>
        </w:r>
      </w:hyperlink>
      <w:r>
        <w:t xml:space="preserve"> — Евгений Прохода как CEO «Фармстандарт-Лексредства»; фармаконадзор</w:t>
      </w:r>
    </w:p>
    <w:p>
      <w:pPr>
        <w:pStyle w:val="Source"/>
      </w:pPr>
      <w:r>
        <w:rPr>
          <w:b/>
        </w:rPr>
        <w:t xml:space="preserve">[S43] Pharmvestnik: производственные цеха «Фармстандарт-Лексредства», 27.12.2006. </w:t>
      </w:r>
      <w:hyperlink r:id="rId67">
        <w:r>
          <w:rPr>
            <w:color w:val="2F6488"/>
            <w:u w:val="single"/>
          </w:rPr>
          <w:t>Открыть источник</w:t>
        </w:r>
      </w:hyperlink>
      <w:r>
        <w:t xml:space="preserve"> — Евгений Прохода как генеральный директор предприятия</w:t>
      </w:r>
    </w:p>
    <w:p>
      <w:pPr>
        <w:pStyle w:val="Source"/>
      </w:pPr>
      <w:r>
        <w:rPr>
          <w:b/>
        </w:rPr>
        <w:t xml:space="preserve">[S44] Pharmstandard Analyst &amp; Investor Day 2012, официальный анонс 07.08.2012. </w:t>
      </w:r>
      <w:hyperlink r:id="rId68">
        <w:r>
          <w:rPr>
            <w:color w:val="2F6488"/>
            <w:u w:val="single"/>
          </w:rPr>
          <w:t>Открыть источник</w:t>
        </w:r>
      </w:hyperlink>
      <w:r>
        <w:t xml:space="preserve"> — повторное подтверждение Alexander Obuhov как Medical Director</w:t>
      </w:r>
    </w:p>
    <w:p>
      <w:pPr>
        <w:pStyle w:val="Source"/>
      </w:pPr>
      <w:r>
        <w:rPr>
          <w:b/>
        </w:rPr>
        <w:t xml:space="preserve">[S45] Forbes: Viktor Kharitonin profile. </w:t>
      </w:r>
      <w:hyperlink r:id="rId14">
        <w:r>
          <w:rPr>
            <w:color w:val="2F6488"/>
            <w:u w:val="single"/>
          </w:rPr>
          <w:t>Открыть источник</w:t>
        </w:r>
      </w:hyperlink>
      <w:r>
        <w:t xml:space="preserve"> — НГУ, Master of Science, ранняя предпринимательская деятельность, создание Pharmstandard</w:t>
      </w:r>
    </w:p>
    <w:p>
      <w:pPr>
        <w:pStyle w:val="Source"/>
      </w:pPr>
      <w:r>
        <w:rPr>
          <w:b/>
        </w:rPr>
        <w:t xml:space="preserve">[S46] Forbes: Roman Abramovich profile. </w:t>
      </w:r>
      <w:hyperlink r:id="rId69">
        <w:r>
          <w:rPr>
            <w:color w:val="2F6488"/>
            <w:u w:val="single"/>
          </w:rPr>
          <w:t>Открыть источник</w:t>
        </w:r>
      </w:hyperlink>
      <w:r>
        <w:t xml:space="preserve"> — юридическое образование и деловая биография</w:t>
      </w:r>
    </w:p>
    <w:p>
      <w:pPr>
        <w:pStyle w:val="Source"/>
      </w:pPr>
      <w:r>
        <w:rPr>
          <w:b/>
        </w:rPr>
        <w:t xml:space="preserve">[S47] Fordham University: Eugene Shvidler biography. </w:t>
      </w:r>
      <w:hyperlink r:id="rId16">
        <w:r>
          <w:rPr>
            <w:color w:val="2F6488"/>
            <w:u w:val="single"/>
          </w:rPr>
          <w:t>Открыть источник</w:t>
        </w:r>
      </w:hyperlink>
      <w:r>
        <w:t xml:space="preserve"> — математика, MBA, international taxation, CEO Sibneft, chairman Millhouse</w:t>
      </w:r>
    </w:p>
    <w:p>
      <w:pPr>
        <w:pStyle w:val="Source"/>
      </w:pPr>
      <w:r>
        <w:rPr>
          <w:b/>
        </w:rPr>
        <w:t xml:space="preserve">[S48] Forbes: Evgeny Shvidler profile. </w:t>
      </w:r>
      <w:hyperlink r:id="rId70">
        <w:r>
          <w:rPr>
            <w:color w:val="2F6488"/>
            <w:u w:val="single"/>
          </w:rPr>
          <w:t>Открыть источник</w:t>
        </w:r>
      </w:hyperlink>
      <w:r>
        <w:t xml:space="preserve"> — Fordham MBA, Deloitte &amp; Touche и деловая биография</w:t>
      </w:r>
    </w:p>
    <w:p>
      <w:pPr>
        <w:pStyle w:val="Source"/>
      </w:pPr>
      <w:r>
        <w:rPr>
          <w:b/>
        </w:rPr>
        <w:t xml:space="preserve">[S49] Региональная энциклопедия: Евгений Федорович Прохода. </w:t>
      </w:r>
      <w:hyperlink r:id="rId71">
        <w:r>
          <w:rPr>
            <w:color w:val="2F6488"/>
            <w:u w:val="single"/>
          </w:rPr>
          <w:t>Открыть источник</w:t>
        </w:r>
      </w:hyperlink>
      <w:r>
        <w:t xml:space="preserve"> — Томский политехнический институт и руководство Курским комбинатом</w:t>
      </w:r>
    </w:p>
    <w:p>
      <w:pPr>
        <w:pStyle w:val="Source"/>
      </w:pPr>
      <w:r>
        <w:rPr>
          <w:b/>
        </w:rPr>
        <w:t xml:space="preserve">[S50] РИА Новости: Александр Обухов — директор медицинского департамента АО «Фармстандарт», 10.10.2025. </w:t>
      </w:r>
      <w:hyperlink r:id="rId72">
        <w:r>
          <w:rPr>
            <w:color w:val="2F6488"/>
            <w:u w:val="single"/>
          </w:rPr>
          <w:t>Открыть источник</w:t>
        </w:r>
      </w:hyperlink>
      <w:r>
        <w:t xml:space="preserve"> — продолжение медицинской руководящей роли</w:t>
      </w:r>
    </w:p>
    <w:p>
      <w:pPr>
        <w:pStyle w:val="Source"/>
      </w:pPr>
      <w:r>
        <w:rPr>
          <w:b/>
        </w:rPr>
        <w:t xml:space="preserve">[S51] Фармвестник: Ольга Лещанская — заместитель генерального директора по корпоративным коммуникациям, 28.08.2007. </w:t>
      </w:r>
      <w:hyperlink r:id="rId73">
        <w:r>
          <w:rPr>
            <w:color w:val="2F6488"/>
            <w:u w:val="single"/>
          </w:rPr>
          <w:t>Открыть источник</w:t>
        </w:r>
      </w:hyperlink>
      <w:r>
        <w:t xml:space="preserve"> — корпоративные коммуникации в период IPO</w:t>
      </w:r>
    </w:p>
    <w:p>
      <w:pPr>
        <w:pStyle w:val="Source"/>
      </w:pPr>
      <w:r>
        <w:rPr>
          <w:b/>
        </w:rPr>
        <w:t xml:space="preserve">[S52] Летопись Московского университета: Виктор Харитонин. </w:t>
      </w:r>
      <w:hyperlink r:id="rId74">
        <w:r>
          <w:rPr>
            <w:color w:val="2F6488"/>
            <w:u w:val="single"/>
          </w:rPr>
          <w:t>Открыть источник</w:t>
        </w:r>
      </w:hyperlink>
      <w:r>
        <w:t xml:space="preserve"> — дата и место рождения; НГУ, 1994</w:t>
      </w:r>
    </w:p>
    <w:p>
      <w:pPr>
        <w:pStyle w:val="Source"/>
      </w:pPr>
      <w:r>
        <w:rPr>
          <w:b/>
        </w:rPr>
        <w:t xml:space="preserve">[S53] РБК Новосибирск: выпускник мехмата НГУ Виктор Харитонин, 22.06.2022. </w:t>
      </w:r>
      <w:hyperlink r:id="rId75">
        <w:r>
          <w:rPr>
            <w:color w:val="2F6488"/>
            <w:u w:val="single"/>
          </w:rPr>
          <w:t>Открыть источник</w:t>
        </w:r>
      </w:hyperlink>
      <w:r>
        <w:t xml:space="preserve"> — механико-математический факультет НГУ</w:t>
      </w:r>
    </w:p>
    <w:p>
      <w:pPr>
        <w:pStyle w:val="Source"/>
      </w:pPr>
      <w:r>
        <w:rPr>
          <w:b/>
        </w:rPr>
        <w:t xml:space="preserve">[S54] Фармвестник: биографическая карточка Виктора Харитонина. </w:t>
      </w:r>
      <w:hyperlink r:id="rId76">
        <w:r>
          <w:rPr>
            <w:color w:val="2F6488"/>
            <w:u w:val="single"/>
          </w:rPr>
          <w:t>Открыть источник</w:t>
        </w:r>
      </w:hyperlink>
      <w:r>
        <w:t xml:space="preserve"> — фирма «Кредитинформ», 1993</w:t>
      </w:r>
    </w:p>
    <w:p>
      <w:pPr>
        <w:pStyle w:val="Source"/>
      </w:pPr>
      <w:r>
        <w:rPr>
          <w:b/>
        </w:rPr>
        <w:t xml:space="preserve">[S55] Коммерсантъ: письменные показания Романа Абрамовича. </w:t>
      </w:r>
      <w:hyperlink r:id="rId15">
        <w:r>
          <w:rPr>
            <w:color w:val="2F6488"/>
            <w:u w:val="single"/>
          </w:rPr>
          <w:t>Открыть источник</w:t>
        </w:r>
      </w:hyperlink>
      <w:r>
        <w:t xml:space="preserve"> — МГЮА, май 2001; ранняя трудовая и предпринимательская биография</w:t>
      </w:r>
    </w:p>
    <w:p>
      <w:pPr>
        <w:pStyle w:val="Source"/>
      </w:pPr>
      <w:r>
        <w:rPr>
          <w:b/>
        </w:rPr>
        <w:t xml:space="preserve">[S56] UK Supreme Court, Shvidler v Secretary of State, [2025] UKSC 30. </w:t>
      </w:r>
      <w:hyperlink r:id="rId77">
        <w:r>
          <w:rPr>
            <w:color w:val="2F6488"/>
            <w:u w:val="single"/>
          </w:rPr>
          <w:t>Открыть источник</w:t>
        </w:r>
      </w:hyperlink>
      <w:r>
        <w:t xml:space="preserve"> — прикладная математика, 1986; нефтяной НИИ</w:t>
      </w:r>
    </w:p>
    <w:p>
      <w:pPr>
        <w:pStyle w:val="Source"/>
      </w:pPr>
      <w:r>
        <w:rPr>
          <w:b/>
        </w:rPr>
        <w:t xml:space="preserve">[S57] Fordham University: Eugene Shvidler, образование и карьера. </w:t>
      </w:r>
      <w:hyperlink r:id="rId16">
        <w:r>
          <w:rPr>
            <w:color w:val="2F6488"/>
            <w:u w:val="single"/>
          </w:rPr>
          <w:t>Открыть источник</w:t>
        </w:r>
      </w:hyperlink>
      <w:r>
        <w:t xml:space="preserve"> — MBA и MS in International Taxation, 1992</w:t>
      </w:r>
    </w:p>
    <w:p>
      <w:pPr>
        <w:pStyle w:val="Source"/>
      </w:pPr>
      <w:r>
        <w:rPr>
          <w:b/>
        </w:rPr>
        <w:t xml:space="preserve">[S58] Коммерсантъ: биография Игоря Крылова, 01.02.2018. </w:t>
      </w:r>
      <w:hyperlink r:id="rId18">
        <w:r>
          <w:rPr>
            <w:color w:val="2F6488"/>
            <w:u w:val="single"/>
          </w:rPr>
          <w:t>Открыть источник</w:t>
        </w:r>
      </w:hyperlink>
      <w:r>
        <w:t xml:space="preserve"> — ВМА, «лечебное дело», 1987; Eli Lilly, Aventis, ICN</w:t>
      </w:r>
    </w:p>
    <w:p>
      <w:pPr>
        <w:pStyle w:val="Source"/>
      </w:pPr>
      <w:r>
        <w:rPr>
          <w:b/>
        </w:rPr>
        <w:t xml:space="preserve">[S59] OTCPharm: официальная биография Ольги Медниковой, 30.03.2023. </w:t>
      </w:r>
      <w:hyperlink r:id="rId19">
        <w:r>
          <w:rPr>
            <w:color w:val="2F6488"/>
            <w:u w:val="single"/>
          </w:rPr>
          <w:t>Открыть источник</w:t>
        </w:r>
      </w:hyperlink>
      <w:r>
        <w:t xml:space="preserve"> — Самарский мединститут, врач; кандидат медицинских наук</w:t>
      </w:r>
    </w:p>
    <w:p>
      <w:pPr>
        <w:pStyle w:val="Source"/>
      </w:pPr>
      <w:r>
        <w:rPr>
          <w:b/>
        </w:rPr>
        <w:t xml:space="preserve">[S60] Всероссийская GMP-конференция 2024: Александр Александрович Обухов. </w:t>
      </w:r>
      <w:hyperlink r:id="rId78">
        <w:r>
          <w:rPr>
            <w:color w:val="2F6488"/>
            <w:u w:val="single"/>
          </w:rPr>
          <w:t>Открыть источник</w:t>
        </w:r>
      </w:hyperlink>
      <w:r>
        <w:t xml:space="preserve"> — директор медицинского департамента «Фармстандарта»</w:t>
      </w:r>
    </w:p>
    <w:p>
      <w:pPr>
        <w:pStyle w:val="Source"/>
      </w:pPr>
      <w:r>
        <w:rPr>
          <w:b/>
        </w:rPr>
        <w:t xml:space="preserve">[S61] Терапевтический архив, 2015: исследование ARBITR. </w:t>
      </w:r>
      <w:hyperlink r:id="rId79">
        <w:r>
          <w:rPr>
            <w:color w:val="2F6488"/>
            <w:u w:val="single"/>
          </w:rPr>
          <w:t>Открыть источник</w:t>
        </w:r>
      </w:hyperlink>
      <w:r>
        <w:t xml:space="preserve"> — А. А. Обухов, аффилиация ОАО «Фармстандарт»</w:t>
      </w:r>
    </w:p>
    <w:p>
      <w:pPr>
        <w:pStyle w:val="Source"/>
      </w:pPr>
      <w:r>
        <w:rPr>
          <w:b/>
        </w:rPr>
        <w:t xml:space="preserve">[S62] Энциклопедия Томского политехнического университета: Евгений Прохода. </w:t>
      </w:r>
      <w:hyperlink r:id="rId80">
        <w:r>
          <w:rPr>
            <w:color w:val="2F6488"/>
            <w:u w:val="single"/>
          </w:rPr>
          <w:t>Открыть источник</w:t>
        </w:r>
      </w:hyperlink>
      <w:r>
        <w:t xml:space="preserve"> — химико-технологический факультет, 1963; производственная карьера</w:t>
      </w:r>
    </w:p>
    <w:p>
      <w:pPr>
        <w:pStyle w:val="Source"/>
      </w:pPr>
      <w:r>
        <w:rPr>
          <w:b/>
        </w:rPr>
        <w:t xml:space="preserve">[S63] Союз выпускников НГУ: Егор Кульков. </w:t>
      </w:r>
      <w:hyperlink r:id="rId81">
        <w:r>
          <w:rPr>
            <w:color w:val="2F6488"/>
            <w:u w:val="single"/>
          </w:rPr>
          <w:t>Открыть источник</w:t>
        </w:r>
      </w:hyperlink>
      <w:r>
        <w:t xml:space="preserve"> — механико-математический факультет НГУ</w:t>
      </w:r>
    </w:p>
    <w:p>
      <w:pPr>
        <w:pStyle w:val="Source"/>
      </w:pPr>
      <w:r>
        <w:rPr>
          <w:b/>
        </w:rPr>
        <w:t xml:space="preserve">[S64] Vademecum: биография Егора Кулькова, 28.03.2018. </w:t>
      </w:r>
      <w:hyperlink r:id="rId82">
        <w:r>
          <w:rPr>
            <w:color w:val="2F6488"/>
            <w:u w:val="single"/>
          </w:rPr>
          <w:t>Открыть источник</w:t>
        </w:r>
      </w:hyperlink>
      <w:r>
        <w:t xml:space="preserve"> — Аресбанк, совет директоров и «Вита Риэлт»</w:t>
      </w:r>
    </w:p>
    <w:p>
      <w:pPr>
        <w:pStyle w:val="Source"/>
      </w:pPr>
      <w:r>
        <w:rPr>
          <w:b/>
        </w:rPr>
        <w:t xml:space="preserve">[S65] WHO / WHA41.17: Ethical Criteria for Medicinal Drug Promotion, 1988. </w:t>
      </w:r>
      <w:hyperlink r:id="rId83">
        <w:r>
          <w:rPr>
            <w:color w:val="2F6488"/>
            <w:u w:val="single"/>
          </w:rPr>
          <w:t>Открыть источник</w:t>
        </w:r>
      </w:hyperlink>
      <w:r>
        <w:t xml:space="preserve"> — точность, баланс, доказуемость и защита от неоправданного риска</w:t>
      </w:r>
    </w:p>
    <w:p>
      <w:pPr>
        <w:pStyle w:val="Source"/>
      </w:pPr>
      <w:r>
        <w:rPr>
          <w:b/>
        </w:rPr>
        <w:t xml:space="preserve">[S66] WMA International Code of Medical Ethics, 2006. </w:t>
      </w:r>
      <w:hyperlink r:id="rId84">
        <w:r>
          <w:rPr>
            <w:color w:val="2F6488"/>
            <w:u w:val="single"/>
          </w:rPr>
          <w:t>Открыть источник</w:t>
        </w:r>
      </w:hyperlink>
      <w:r>
        <w:t xml:space="preserve"> — независимость суждения, интерес пациента, личная выгода</w:t>
      </w:r>
    </w:p>
    <w:p>
      <w:pPr>
        <w:pStyle w:val="Source"/>
      </w:pPr>
      <w:r>
        <w:rPr>
          <w:b/>
        </w:rPr>
        <w:t xml:space="preserve">[S67] IFAPP International Code of Ethical Conduct for Pharmaceutical Physicians, 2003. </w:t>
      </w:r>
      <w:hyperlink r:id="rId85">
        <w:r>
          <w:rPr>
            <w:color w:val="2F6488"/>
            <w:u w:val="single"/>
          </w:rPr>
          <w:t>Открыть источник</w:t>
        </w:r>
      </w:hyperlink>
      <w:r>
        <w:t xml:space="preserve"> — дети, benefit–risk, фармаконадзор и маркетинговые claims</w:t>
      </w:r>
    </w:p>
    <w:p>
      <w:pPr>
        <w:pStyle w:val="Source"/>
      </w:pPr>
      <w:r>
        <w:rPr>
          <w:b/>
        </w:rPr>
        <w:t xml:space="preserve">[S68] OECD Principles of Corporate Governance, 2004. </w:t>
      </w:r>
      <w:hyperlink r:id="rId86">
        <w:r>
          <w:rPr>
            <w:color w:val="2F6488"/>
            <w:u w:val="single"/>
          </w:rPr>
          <w:t>Открыть источник</w:t>
        </w:r>
      </w:hyperlink>
      <w:r>
        <w:t xml:space="preserve"> — этика совета, risk management, compliance и коммуникации</w:t>
      </w:r>
    </w:p>
    <w:p>
      <w:pPr>
        <w:pStyle w:val="Source"/>
      </w:pPr>
      <w:r>
        <w:rPr>
          <w:b/>
        </w:rPr>
        <w:t xml:space="preserve">[S69] Федеральный закон № 323-ФЗ от 21.11.2011. </w:t>
      </w:r>
      <w:hyperlink r:id="rId87">
        <w:r>
          <w:rPr>
            <w:color w:val="2F6488"/>
            <w:u w:val="single"/>
          </w:rPr>
          <w:t>Открыть источник</w:t>
        </w:r>
      </w:hyperlink>
      <w:r>
        <w:t xml:space="preserve"> — приоритет охраны здоровья детей и клятва врача</w:t>
      </w:r>
    </w:p>
    <w:p>
      <w:pPr>
        <w:pStyle w:val="Source"/>
      </w:pPr>
      <w:r>
        <w:rPr>
          <w:b/>
        </w:rPr>
        <w:t xml:space="preserve">[S70] Приказ Минздравсоцразвития № 109 от 12.02.2007. </w:t>
      </w:r>
      <w:hyperlink r:id="rId88">
        <w:r>
          <w:rPr>
            <w:color w:val="2F6488"/>
            <w:u w:val="single"/>
          </w:rPr>
          <w:t>Открыть источник</w:t>
        </w:r>
      </w:hyperlink>
      <w:r>
        <w:t xml:space="preserve"> — подпись В. И. Стародубова; лимит двух упаковок</w:t>
      </w:r>
    </w:p>
    <w:p>
      <w:pPr>
        <w:pStyle w:val="Source"/>
      </w:pPr>
      <w:r>
        <w:rPr>
          <w:b/>
        </w:rPr>
        <w:t xml:space="preserve">[S71] ЦНИИОИЗ Минздрава: Владимир Стародубов. </w:t>
      </w:r>
      <w:hyperlink r:id="rId89">
        <w:r>
          <w:rPr>
            <w:color w:val="2F6488"/>
            <w:u w:val="single"/>
          </w:rPr>
          <w:t>Открыть источник</w:t>
        </w:r>
      </w:hyperlink>
      <w:r>
        <w:t xml:space="preserve"> — медицинское образование, хирургия, организация здравоохранения</w:t>
      </w:r>
    </w:p>
    <w:p>
      <w:pPr>
        <w:pStyle w:val="Source"/>
      </w:pPr>
      <w:r>
        <w:rPr>
          <w:b/>
        </w:rPr>
        <w:t xml:space="preserve">[S72] РАН: Рамил Усманович Хабриев. </w:t>
      </w:r>
      <w:hyperlink r:id="rId90">
        <w:r>
          <w:rPr>
            <w:color w:val="2F6488"/>
            <w:u w:val="single"/>
          </w:rPr>
          <w:t>Открыть источник</w:t>
        </w:r>
      </w:hyperlink>
      <w:r>
        <w:t xml:space="preserve"> — врач, доктор медицинских и фармацевтических наук</w:t>
      </w:r>
    </w:p>
    <w:p>
      <w:pPr>
        <w:pStyle w:val="Source"/>
      </w:pPr>
      <w:r>
        <w:rPr>
          <w:b/>
        </w:rPr>
        <w:t xml:space="preserve">[S73] РИА Новости: назначение Р. У. Хабриева, 26.03.2004. </w:t>
      </w:r>
      <w:hyperlink r:id="rId91">
        <w:r>
          <w:rPr>
            <w:color w:val="2F6488"/>
            <w:u w:val="single"/>
          </w:rPr>
          <w:t>Открыть источник</w:t>
        </w:r>
      </w:hyperlink>
      <w:r>
        <w:t xml:space="preserve"> — срок руководства Росздравнадзором</w:t>
      </w:r>
    </w:p>
    <w:p>
      <w:pPr>
        <w:pStyle w:val="Source"/>
      </w:pPr>
      <w:r>
        <w:rPr>
          <w:b/>
        </w:rPr>
        <w:t xml:space="preserve">[S74] Российская газета: досье Николая Юргеля, 08.02.2010. </w:t>
      </w:r>
      <w:hyperlink r:id="rId92">
        <w:r>
          <w:rPr>
            <w:color w:val="2F6488"/>
            <w:u w:val="single"/>
          </w:rPr>
          <w:t>Открыть источник</w:t>
        </w:r>
      </w:hyperlink>
      <w:r>
        <w:t xml:space="preserve"> — глава Росздравнадзора, врач, д.м.н.</w:t>
      </w:r>
    </w:p>
    <w:p>
      <w:pPr>
        <w:pStyle w:val="Source"/>
      </w:pPr>
      <w:r>
        <w:rPr>
          <w:b/>
        </w:rPr>
        <w:t xml:space="preserve">[S75] ТАСС: биография Михаила Зурабова. </w:t>
      </w:r>
      <w:hyperlink r:id="rId93">
        <w:r>
          <w:rPr>
            <w:color w:val="2F6488"/>
            <w:u w:val="single"/>
          </w:rPr>
          <w:t>Открыть источник</w:t>
        </w:r>
      </w:hyperlink>
      <w:r>
        <w:t xml:space="preserve"> — срок министра и экономическое образование</w:t>
      </w:r>
    </w:p>
    <w:p>
      <w:pPr>
        <w:pStyle w:val="Source"/>
      </w:pPr>
      <w:r>
        <w:rPr>
          <w:b/>
        </w:rPr>
        <w:t xml:space="preserve">[S76] ТАСС: биография Татьяны Голиковой. </w:t>
      </w:r>
      <w:hyperlink r:id="rId94">
        <w:r>
          <w:rPr>
            <w:color w:val="2F6488"/>
            <w:u w:val="single"/>
          </w:rPr>
          <w:t>Открыть источник</w:t>
        </w:r>
      </w:hyperlink>
      <w:r>
        <w:t xml:space="preserve"> — срок министра и экономическое образование</w:t>
      </w:r>
    </w:p>
    <w:p>
      <w:pPr>
        <w:pStyle w:val="Source"/>
      </w:pPr>
      <w:r>
        <w:rPr>
          <w:b/>
        </w:rPr>
        <w:t xml:space="preserve">[S77] Российская газета: рецепт на кодеин с 01.06.2012. </w:t>
      </w:r>
      <w:hyperlink r:id="rId95">
        <w:r>
          <w:rPr>
            <w:color w:val="2F6488"/>
            <w:u w:val="single"/>
          </w:rPr>
          <w:t>Открыть источник</w:t>
        </w:r>
      </w:hyperlink>
      <w:r>
        <w:t xml:space="preserve"> — позиция Т. А. Голиковой и переходный период</w:t>
      </w:r>
    </w:p>
    <w:p>
      <w:pPr>
        <w:pStyle w:val="Source"/>
      </w:pPr>
      <w:r>
        <w:rPr>
          <w:b/>
        </w:rPr>
        <w:t xml:space="preserve">[S78] Архив Правительства: Вероника Скворцова. </w:t>
      </w:r>
      <w:hyperlink r:id="rId96">
        <w:r>
          <w:rPr>
            <w:color w:val="2F6488"/>
            <w:u w:val="single"/>
          </w:rPr>
          <w:t>Открыть источник</w:t>
        </w:r>
      </w:hyperlink>
      <w:r>
        <w:t xml:space="preserve"> — врач-невролог, замминистр и министр</w:t>
      </w:r>
    </w:p>
    <w:p>
      <w:pPr>
        <w:pStyle w:val="Source"/>
      </w:pPr>
      <w:r>
        <w:rPr>
          <w:b/>
        </w:rPr>
        <w:t xml:space="preserve">[S79] Минздрав: письмо №25-1/10/2-4131 от 23.04.2012. </w:t>
      </w:r>
      <w:hyperlink r:id="rId97">
        <w:r>
          <w:rPr>
            <w:color w:val="2F6488"/>
            <w:u w:val="single"/>
          </w:rPr>
          <w:t>Открыть источник</w:t>
        </w:r>
      </w:hyperlink>
      <w:r>
        <w:t xml:space="preserve"> — подпись В. И. Скворцовой и подготовка к Rx-отпуску</w:t>
      </w:r>
    </w:p>
    <w:p>
      <w:pPr>
        <w:pStyle w:val="Source"/>
      </w:pPr>
      <w:r>
        <w:rPr>
          <w:b/>
        </w:rPr>
        <w:t xml:space="preserve">[S80] Российская газета: позиция главного нарколога Е. А. Брюна, 16.05.2011. </w:t>
      </w:r>
      <w:hyperlink r:id="rId98">
        <w:r>
          <w:rPr>
            <w:color w:val="2F6488"/>
            <w:u w:val="single"/>
          </w:rPr>
          <w:t>Открыть источник</w:t>
        </w:r>
      </w:hyperlink>
      <w:r>
        <w:t xml:space="preserve"> — «не демонизировать»; «скорее полицейская проблема»</w:t>
      </w:r>
    </w:p>
    <w:p>
      <w:pPr>
        <w:pStyle w:val="Source"/>
      </w:pPr>
      <w:r>
        <w:rPr>
          <w:b/>
        </w:rPr>
        <w:t xml:space="preserve">[S81] Кремль: биография Владимира Путина. </w:t>
      </w:r>
      <w:hyperlink r:id="rId99">
        <w:r>
          <w:rPr>
            <w:color w:val="2F6488"/>
            <w:u w:val="single"/>
          </w:rPr>
          <w:t>Открыть источник</w:t>
        </w:r>
      </w:hyperlink>
      <w:r>
        <w:t xml:space="preserve"> — юридическое образование и государственные должности</w:t>
      </w:r>
    </w:p>
    <w:p>
      <w:pPr>
        <w:pStyle w:val="Source"/>
      </w:pPr>
      <w:r>
        <w:rPr>
          <w:b/>
        </w:rPr>
        <w:t xml:space="preserve">[S82] Российская газета: доклад директора ФСКН Виктора Иванова, 23.04.2010. </w:t>
      </w:r>
      <w:hyperlink r:id="rId100">
        <w:r>
          <w:rPr>
            <w:color w:val="2F6488"/>
            <w:u w:val="single"/>
          </w:rPr>
          <w:t>Открыть источник</w:t>
        </w:r>
      </w:hyperlink>
      <w:r>
        <w:t xml:space="preserve"> — дезоморфин, ограничение рекламы и Rx-предложение</w:t>
      </w:r>
    </w:p>
    <w:p>
      <w:r>
        <w:br w:type="page"/>
      </w:r>
    </w:p>
    <w:p>
      <w:pPr>
        <w:pStyle w:val="Kicker"/>
      </w:pPr>
      <w:r>
        <w:t>ПРИЛОЖЕНИЕ A</w:t>
      </w:r>
    </w:p>
    <w:p>
      <w:pPr>
        <w:pStyle w:val="Heading1"/>
      </w:pPr>
      <w:r>
        <w:t>Полноразмерные сканы официальной инструкции</w:t>
      </w:r>
    </w:p>
    <w:p>
      <w:pPr>
        <w:pStyle w:val="Deck"/>
      </w:pPr>
      <w:r>
        <w:t>Источник: ГРЛС Минздрава России. Изображения подготовлены в 300 dpi; полный исходный PDF сохранен в составе пакета.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7827504"/>
            <wp:docPr id="10" name="instruction_2008_page1_official_300dpi" descr="Official Codelac Phyto instruction page 1 of 3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_2008_page1_official_300dpi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827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Официальная инструкция Р N002419/01-130808, страница 1 из 3.</w:t>
      </w:r>
    </w:p>
    <w:p>
      <w:r>
        <w:br w:type="page"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7827504"/>
            <wp:docPr id="11" name="instruction_2008_page2_official_300dpi" descr="Official Codelac Phyto instruction page 2 of 3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_2008_page2_official_300dpi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827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Официальная инструкция Р N002419/01-130808, страница 2 из 3.</w:t>
      </w:r>
    </w:p>
    <w:p>
      <w:r>
        <w:br w:type="page"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7827504"/>
            <wp:docPr id="12" name="instruction_2008_page3_official_300dpi" descr="Official Codelac Phyto instruction page 3 of 3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_2008_page3_official_300dpi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827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Официальная инструкция Р N002419/01-130808, страница 3 из 3.</w:t>
      </w:r>
    </w:p>
    <w:p>
      <w:r>
        <w:br w:type="page"/>
      </w:r>
    </w:p>
    <w:p>
      <w:pPr>
        <w:pStyle w:val="Kicker"/>
      </w:pPr>
      <w:r>
        <w:t>ПРИЛОЖЕНИЕ B</w:t>
      </w:r>
    </w:p>
    <w:p>
      <w:pPr>
        <w:pStyle w:val="Heading1"/>
      </w:pPr>
      <w:r>
        <w:t>Корпоративные первоисточники: продукт, собственники и менеджмент</w:t>
      </w:r>
    </w:p>
    <w:p>
      <w:pPr>
        <w:pStyle w:val="Deck"/>
      </w:pPr>
      <w:r>
        <w:t>Проспект ОАО «Фармстандарт» 2007 года. Страницы приведены без смысловой реконструкции.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7825258"/>
            <wp:docPr id="13" name="prospectus_2007_codelac_children_page65" descr="Проспект, страница 65: Codelac Phyto для симптомов кашля у детей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_2007_codelac_children_page65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825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Проспект, страница 65: Codelac Phyto для симптомов кашля у детей.</w:t>
      </w:r>
    </w:p>
    <w:p>
      <w:r>
        <w:br w:type="page"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7825258"/>
            <wp:docPr id="14" name="prospectus_2007_marketing_campaign_page51" descr="Проспект, страница 51: рост расходов и рекламные кампании Codelac/Compliv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_2007_marketing_campaign_page51.pn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825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Проспект, страница 51: рост расходов и рекламные кампании Codelac/Complivit.</w:t>
      </w:r>
    </w:p>
    <w:p>
      <w:r>
        <w:br w:type="page"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7825258"/>
            <wp:docPr id="15" name="prospectus_2007_ownership_page76" descr="Проспект, страница 76: Augment и бенефициарные дол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_2007_ownership_page76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825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Проспект, страница 76: Augment и бенефициарные доли.</w:t>
      </w:r>
    </w:p>
    <w:p>
      <w:r>
        <w:br w:type="page"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7825258"/>
            <wp:docPr id="16" name="prospectus_2007_board_page77" descr="Проспект, страница 77: совет директоров и биография Виктора Харитонина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_2007_board_page77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825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Проспект, страница 77: совет директоров и биография Виктора Харитонина.</w:t>
      </w:r>
    </w:p>
    <w:p>
      <w:r>
        <w:br w:type="page"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7825258"/>
            <wp:docPr id="17" name="prospectus_2007_management_page78" descr="Проспект, страница 78: senior management, включая Игоря Крылова и Ольгу Медникову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_2007_management_page78.pn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825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Проспект, страница 78: senior management, включая Игоря Крылова и Ольгу Медникову.</w:t>
      </w:r>
    </w:p>
    <w:p>
      <w:r>
        <w:br w:type="page"/>
      </w:r>
    </w:p>
    <w:p>
      <w:pPr>
        <w:pStyle w:val="Kicker"/>
      </w:pPr>
      <w:r>
        <w:t>ПРИЛОЖЕНИЕ C</w:t>
      </w:r>
    </w:p>
    <w:p>
      <w:pPr>
        <w:pStyle w:val="Heading1"/>
      </w:pPr>
      <w:r>
        <w:t>Архивные кадры для веб-публикации</w:t>
      </w:r>
    </w:p>
    <w:p>
      <w:pPr>
        <w:pStyle w:val="Deck"/>
      </w:pPr>
      <w:r>
        <w:t>Исходные PNG и масштабированные JPEG сохранены отдельно. Масштабирование выполнено без генеративной дорисовки.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572000"/>
            <wp:docPr id="18" name="ad_2005_claims_web" descr="2005: claims «Остановит кашель / Снимет воспаление / Очистит бронхи»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_2005_claims_web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2005: claims «Остановит кашель / Снимет воспаление / Очистит бронхи».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572000"/>
            <wp:docPr id="19" name="ad_2005_packshot_web" descr="2005: финальный packshot коробки и жидкой формы Codelac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_2005_packshot_web.jp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2005: финальный packshot коробки и жидкой формы Codelac.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286250"/>
            <wp:docPr id="20" name="ad_2006_adult_scene_web" descr="2006: сюжетная сцена телевизионного креатива перед финальным packsho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_2006_adult_scene_web.jp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2006: сюжетная сцена телевизионного креатива перед финальным packshot.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286250"/>
            <wp:docPr id="21" name="ad_2006_packshot_ru_web" descr="2006: packshot; над флаконом читается Р/У № 002419/01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_2006_packshot_ru_web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left"/>
      </w:pPr>
      <w:r>
        <w:t>2006: packshot; над флаконом читается Р/У № 002419/01.</w:t>
      </w:r>
    </w:p>
    <w:p>
      <w:pPr>
        <w:pStyle w:val="Small"/>
      </w:pPr>
      <w:r>
        <w:t>Пакет веб-ассетов содержит manifest.csv с размером и SHA-256 каждого файла. Исходные MP4 также имеют зафиксированные SHA-256 в доказательной матрице проекта.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325" w:bottom="1123" w:left="1325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170"/>
        <w:sz w:val="16"/>
      </w:rPr>
      <w:t xml:space="preserve">Документальная редакция • 5 августа 2026 •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526170"/>
        <w:sz w:val="15"/>
      </w:rPr>
      <w:t>БЕЗРЕЦЕПТУРНОЕ ЛЕКАРСТВО С КОДЕИНОМ ДЛЯ ДЕТЕЙ ОТ ДВУХ ЛЕТ • «ФАРМСТАНДАРТ»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20" w:after="160"/>
      <w:jc w:val="both"/>
    </w:pPr>
    <w:rPr>
      <w:rFonts w:ascii="Calibri" w:hAnsi="Calibri"/>
      <w:color w:val="1821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6E1A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118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9E242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20" w:line="240" w:lineRule="auto" w:before="0"/>
      <w:contextualSpacing/>
      <w:jc w:val="left"/>
    </w:pPr>
    <w:rPr>
      <w:rFonts w:asciiTheme="majorHAnsi" w:eastAsiaTheme="majorEastAsia" w:hAnsiTheme="majorHAnsi" w:cstheme="majorBidi" w:ascii="Calibri" w:hAnsi="Calibri"/>
      <w:b/>
      <w:color w:val="11182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80"/>
      <w:jc w:val="left"/>
    </w:pPr>
    <w:rPr>
      <w:rFonts w:asciiTheme="majorHAnsi" w:eastAsiaTheme="majorEastAsia" w:hAnsiTheme="majorHAnsi" w:cstheme="majorBidi" w:ascii="Calibri" w:hAnsi="Calibri"/>
      <w:b w:val="0"/>
      <w:i/>
      <w:iCs/>
      <w:color w:val="52617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40" w:lineRule="auto" w:after="180"/>
    </w:pPr>
    <w:rPr>
      <w:rFonts w:ascii="Calibri" w:hAnsi="Calibri"/>
      <w:b/>
      <w:bCs/>
      <w:i/>
      <w:color w:val="52617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spacing w:after="120"/>
    </w:pPr>
    <w:rPr>
      <w:rFonts w:ascii="Calibri" w:hAnsi="Calibri"/>
      <w:b/>
      <w:color w:val="9E242B"/>
      <w:sz w:val="18"/>
    </w:rPr>
  </w:style>
  <w:style w:type="paragraph" w:customStyle="1" w:styleId="Deck">
    <w:name w:val="Deck"/>
    <w:pPr>
      <w:spacing w:line="276" w:lineRule="auto" w:after="240"/>
    </w:pPr>
    <w:rPr>
      <w:rFonts w:ascii="Calibri" w:hAnsi="Calibri"/>
      <w:color w:val="526170"/>
      <w:sz w:val="26"/>
    </w:rPr>
  </w:style>
  <w:style w:type="paragraph" w:customStyle="1" w:styleId="Source">
    <w:name w:val="Source"/>
    <w:pPr>
      <w:spacing w:line="240" w:lineRule="auto" w:after="40"/>
    </w:pPr>
    <w:rPr>
      <w:rFonts w:ascii="Calibri" w:hAnsi="Calibri"/>
      <w:color w:val="526170"/>
      <w:sz w:val="15"/>
    </w:rPr>
  </w:style>
  <w:style w:type="paragraph" w:customStyle="1" w:styleId="PullQuote">
    <w:name w:val="PullQuote"/>
    <w:pPr>
      <w:spacing w:before="200" w:after="240"/>
      <w:ind w:left="360" w:right="288"/>
    </w:pPr>
    <w:rPr>
      <w:rFonts w:ascii="Calibri" w:hAnsi="Calibri"/>
      <w:b/>
      <w:color w:val="6E1A20"/>
      <w:sz w:val="30"/>
    </w:rPr>
  </w:style>
  <w:style w:type="paragraph" w:customStyle="1" w:styleId="PersonName">
    <w:name w:val="PersonName"/>
    <w:pPr>
      <w:spacing w:after="40"/>
    </w:pPr>
    <w:rPr>
      <w:rFonts w:ascii="Calibri" w:hAnsi="Calibri"/>
      <w:b/>
      <w:color w:val="6E1A20"/>
      <w:sz w:val="36"/>
    </w:rPr>
  </w:style>
  <w:style w:type="paragraph" w:customStyle="1" w:styleId="PersonRole">
    <w:name w:val="PersonRole"/>
    <w:pPr>
      <w:spacing w:after="160"/>
    </w:pPr>
    <w:rPr>
      <w:rFonts w:ascii="Calibri" w:hAnsi="Calibri"/>
      <w:b/>
      <w:color w:val="526170"/>
      <w:sz w:val="20"/>
    </w:rPr>
  </w:style>
  <w:style w:type="paragraph" w:customStyle="1" w:styleId="Small">
    <w:name w:val="Small"/>
    <w:pPr>
      <w:spacing w:after="100"/>
    </w:pPr>
    <w:rPr>
      <w:rFonts w:ascii="Calibri" w:hAnsi="Calibri"/>
      <w:color w:val="52617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www.forbes.com/profile/viktor-kharitonin/" TargetMode="External"/><Relationship Id="rId15" Type="http://schemas.openxmlformats.org/officeDocument/2006/relationships/hyperlink" Target="https://www.kommersant.ru/doc/1811736" TargetMode="External"/><Relationship Id="rId16" Type="http://schemas.openxmlformats.org/officeDocument/2006/relationships/hyperlink" Target="https://now.fordham.edu/business-and-economics/gabelli-alumnus-eugene-shvidler-awarded-honorary-degree/" TargetMode="External"/><Relationship Id="rId17" Type="http://schemas.openxmlformats.org/officeDocument/2006/relationships/hyperlink" Target="https://preqveca.ru/placements/memorandum/download/40/" TargetMode="External"/><Relationship Id="rId18" Type="http://schemas.openxmlformats.org/officeDocument/2006/relationships/hyperlink" Target="https://www.kommersant.ru/doc/3535649" TargetMode="External"/><Relationship Id="rId19" Type="http://schemas.openxmlformats.org/officeDocument/2006/relationships/hyperlink" Target="https://otcpharm.ru/press-center/news/504/" TargetMode="External"/><Relationship Id="rId20" Type="http://schemas.openxmlformats.org/officeDocument/2006/relationships/hyperlink" Target="https://pharmstd.com/printarchivedetails_64_2644.html" TargetMode="External"/><Relationship Id="rId21" Type="http://schemas.openxmlformats.org/officeDocument/2006/relationships/image" Target="media/image4.png"/><Relationship Id="rId22" Type="http://schemas.openxmlformats.org/officeDocument/2006/relationships/image" Target="media/image5.png"/><Relationship Id="rId23" Type="http://schemas.openxmlformats.org/officeDocument/2006/relationships/image" Target="media/image6.png"/><Relationship Id="rId24" Type="http://schemas.openxmlformats.org/officeDocument/2006/relationships/image" Target="media/image7.jpg"/><Relationship Id="rId25" Type="http://schemas.openxmlformats.org/officeDocument/2006/relationships/image" Target="media/image8.jpg"/><Relationship Id="rId26" Type="http://schemas.openxmlformats.org/officeDocument/2006/relationships/image" Target="media/image9.png"/><Relationship Id="rId27" Type="http://schemas.openxmlformats.org/officeDocument/2006/relationships/hyperlink" Target="https://grls.rosminzdrav.ru/Grls_View_v2.aspx?routingGuid=90ac3237-8938-436d-8a6f-813164b81078" TargetMode="External"/><Relationship Id="rId28" Type="http://schemas.openxmlformats.org/officeDocument/2006/relationships/hyperlink" Target="https://grls.rosminzdrav.ru/InstrImg/2024/07/22/11908/8ab0ea44-91fe-4339-b774-96cb7a2625be.pdf" TargetMode="External"/><Relationship Id="rId29" Type="http://schemas.openxmlformats.org/officeDocument/2006/relationships/hyperlink" Target="https://pharmstd.com/archivedetails_64_2571.html" TargetMode="External"/><Relationship Id="rId30" Type="http://schemas.openxmlformats.org/officeDocument/2006/relationships/hyperlink" Target="https://pharmstd.com/archivedetails_64_2572.html" TargetMode="External"/><Relationship Id="rId31" Type="http://schemas.openxmlformats.org/officeDocument/2006/relationships/hyperlink" Target="https://pharmstd.com/archivedetails_64_2582.html" TargetMode="External"/><Relationship Id="rId32" Type="http://schemas.openxmlformats.org/officeDocument/2006/relationships/hyperlink" Target="https://pharmstd.com/pdfs/2012_annual_report_EN.pdf" TargetMode="External"/><Relationship Id="rId33" Type="http://schemas.openxmlformats.org/officeDocument/2006/relationships/hyperlink" Target="https://pharmstd.com/printarchivedetails_64_2637.html" TargetMode="External"/><Relationship Id="rId34" Type="http://schemas.openxmlformats.org/officeDocument/2006/relationships/hyperlink" Target="https://staroetv.su/video/13733" TargetMode="External"/><Relationship Id="rId35" Type="http://schemas.openxmlformats.org/officeDocument/2006/relationships/hyperlink" Target="https://staroetv.su/video/34821" TargetMode="External"/><Relationship Id="rId36" Type="http://schemas.openxmlformats.org/officeDocument/2006/relationships/hyperlink" Target="https://rutube.ru/video/84fe20bfab0c33ded248ef710303e72a/" TargetMode="External"/><Relationship Id="rId37" Type="http://schemas.openxmlformats.org/officeDocument/2006/relationships/hyperlink" Target="https://staroetv.su/video/25868" TargetMode="External"/><Relationship Id="rId38" Type="http://schemas.openxmlformats.org/officeDocument/2006/relationships/hyperlink" Target="https://staroetv.su/video/13418" TargetMode="External"/><Relationship Id="rId39" Type="http://schemas.openxmlformats.org/officeDocument/2006/relationships/hyperlink" Target="https://staroetv.su/video/34877" TargetMode="External"/><Relationship Id="rId40" Type="http://schemas.openxmlformats.org/officeDocument/2006/relationships/hyperlink" Target="https://rg.ru/documents/2006/03/15/reklama-dok.html" TargetMode="External"/><Relationship Id="rId41" Type="http://schemas.openxmlformats.org/officeDocument/2006/relationships/hyperlink" Target="https://base.garant.ru/12112176/" TargetMode="External"/><Relationship Id="rId42" Type="http://schemas.openxmlformats.org/officeDocument/2006/relationships/hyperlink" Target="https://legalacts.ru/doc/prikaz-minzdravsotsrazvitija-rf-ot-13092005-n-578/" TargetMode="External"/><Relationship Id="rId43" Type="http://schemas.openxmlformats.org/officeDocument/2006/relationships/hyperlink" Target="https://rg.ru/documents/2006/12/31/recept-dok.html" TargetMode="External"/><Relationship Id="rId44" Type="http://schemas.openxmlformats.org/officeDocument/2006/relationships/hyperlink" Target="https://rg.ru/documents/2011/07/27/preparati-dok.html" TargetMode="External"/><Relationship Id="rId45" Type="http://schemas.openxmlformats.org/officeDocument/2006/relationships/hyperlink" Target="https://minzdrav.gov.ru/documents/6833-prikaz-minzdravsotsrazvitiya-rossii-562n-ot-17-maya-2012-g" TargetMode="External"/><Relationship Id="rId46" Type="http://schemas.openxmlformats.org/officeDocument/2006/relationships/hyperlink" Target="https://base.garant.ru/9324102/" TargetMode="External"/><Relationship Id="rId47" Type="http://schemas.openxmlformats.org/officeDocument/2006/relationships/hyperlink" Target="https://www.who.int/publications/i/item/WHO_FCH_CAH_01.02" TargetMode="External"/><Relationship Id="rId48" Type="http://schemas.openxmlformats.org/officeDocument/2006/relationships/hyperlink" Target="https://pubmed.ncbi.nlm.nih.gov/8496765/" TargetMode="External"/><Relationship Id="rId49" Type="http://schemas.openxmlformats.org/officeDocument/2006/relationships/hyperlink" Target="https://pubmed.ncbi.nlm.nih.gov/9190557/" TargetMode="External"/><Relationship Id="rId50" Type="http://schemas.openxmlformats.org/officeDocument/2006/relationships/hyperlink" Target="https://pubmed.ncbi.nlm.nih.gov/12453926/" TargetMode="External"/><Relationship Id="rId51" Type="http://schemas.openxmlformats.org/officeDocument/2006/relationships/hyperlink" Target="https://pubmed.ncbi.nlm.nih.gov/12879168/" TargetMode="External"/><Relationship Id="rId52" Type="http://schemas.openxmlformats.org/officeDocument/2006/relationships/hyperlink" Target="https://www.nejm.org/doi/full/10.1056/NEJMoa041888" TargetMode="External"/><Relationship Id="rId53" Type="http://schemas.openxmlformats.org/officeDocument/2006/relationships/hyperlink" Target="https://www.nejm.org/doi/full/10.1056/NEJMc0904266" TargetMode="External"/><Relationship Id="rId54" Type="http://schemas.openxmlformats.org/officeDocument/2006/relationships/hyperlink" Target="https://assets.publishing.service.gov.uk/media/5df7610e40f0b60941ffefd8/Oral_liquid_cough_medicines_containing_codeine_should_not_be_used_in_those_aged_less_than_18_years.pdf" TargetMode="External"/><Relationship Id="rId55" Type="http://schemas.openxmlformats.org/officeDocument/2006/relationships/hyperlink" Target="https://dailymed.nlm.nih.gov/dailymed/fda/fdaDrugXsl.cfm?setid=0505fe62-ac59-475e-8c94-1933398be580&amp;type=display" TargetMode="External"/><Relationship Id="rId56" Type="http://schemas.openxmlformats.org/officeDocument/2006/relationships/hyperlink" Target="https://www.law.cornell.edu/cfr/text/21/1306.26" TargetMode="External"/><Relationship Id="rId57" Type="http://schemas.openxmlformats.org/officeDocument/2006/relationships/hyperlink" Target="https://laws.justice.gc.ca/eng/regulations/C.R.C.%2C_c._1041/section-36-20060322.html" TargetMode="External"/><Relationship Id="rId58" Type="http://schemas.openxmlformats.org/officeDocument/2006/relationships/hyperlink" Target="https://www.canada.ca/en/health-canada/services/drugs-health-products/drug-products/applications-submissions/guidance-documents/nonprescription-drugs-labelling-standards/nonprescription-oral-paediatric-cough-cold-labelling-standard.html" TargetMode="External"/><Relationship Id="rId59" Type="http://schemas.openxmlformats.org/officeDocument/2006/relationships/hyperlink" Target="https://australianprescriber.tg.org.au/articles/medicines-safety-update-10.html" TargetMode="External"/><Relationship Id="rId60" Type="http://schemas.openxmlformats.org/officeDocument/2006/relationships/hyperlink" Target="https://www.bfarm.de/SharedDocs/Risikoinformationen/Pharmakovigilanz/DE/RHB/2014/info-codein.html" TargetMode="External"/><Relationship Id="rId61" Type="http://schemas.openxmlformats.org/officeDocument/2006/relationships/hyperlink" Target="https://www.ema.europa.eu/en/news/restrictions-use-codeine-pain-relief-children-cmdh-endorses-prac-recommendation" TargetMode="External"/><Relationship Id="rId62" Type="http://schemas.openxmlformats.org/officeDocument/2006/relationships/hyperlink" Target="https://www.theguardian.com/world/2006/dec/24/sport.football" TargetMode="External"/><Relationship Id="rId63" Type="http://schemas.openxmlformats.org/officeDocument/2006/relationships/hyperlink" Target="https://www.investegate.info/announcement/rns/afc-energy--afc/directorate-change/2781953" TargetMode="External"/><Relationship Id="rId64" Type="http://schemas.openxmlformats.org/officeDocument/2006/relationships/hyperlink" Target="https://images.forbes.com/lists/2005/54/SFMX.html" TargetMode="External"/><Relationship Id="rId65" Type="http://schemas.openxmlformats.org/officeDocument/2006/relationships/hyperlink" Target="https://pharmstd.com/pdfs/2009_annual_report_EN.pdf" TargetMode="External"/><Relationship Id="rId66" Type="http://schemas.openxmlformats.org/officeDocument/2006/relationships/hyperlink" Target="https://pharmstd.com/pdfs/2011_annual_report_EN.pdf" TargetMode="External"/><Relationship Id="rId67" Type="http://schemas.openxmlformats.org/officeDocument/2006/relationships/hyperlink" Target="https://pharmvestnik.ru/content/news/912.html" TargetMode="External"/><Relationship Id="rId68" Type="http://schemas.openxmlformats.org/officeDocument/2006/relationships/hyperlink" Target="https://pharmstd.com/printarchivedetails_64_2660.html" TargetMode="External"/><Relationship Id="rId69" Type="http://schemas.openxmlformats.org/officeDocument/2006/relationships/hyperlink" Target="https://www.forbes.com/profile/roman-abramovich/" TargetMode="External"/><Relationship Id="rId70" Type="http://schemas.openxmlformats.org/officeDocument/2006/relationships/hyperlink" Target="https://www.forbes.com/profile/evgeny-eugene-shvidler/" TargetMode="External"/><Relationship Id="rId71" Type="http://schemas.openxmlformats.org/officeDocument/2006/relationships/hyperlink" Target="https://www.mke.su/doc/PROKhODA%20EF.html" TargetMode="External"/><Relationship Id="rId72" Type="http://schemas.openxmlformats.org/officeDocument/2006/relationships/hyperlink" Target="https://ri.ria.ru/20251010/nauka-2047393854.html" TargetMode="External"/><Relationship Id="rId73" Type="http://schemas.openxmlformats.org/officeDocument/2006/relationships/hyperlink" Target="https://pharmvestnik.ru/articles/13658.html" TargetMode="External"/><Relationship Id="rId74" Type="http://schemas.openxmlformats.org/officeDocument/2006/relationships/hyperlink" Target="https://letopis.msu.ru/peoples/10088" TargetMode="External"/><Relationship Id="rId75" Type="http://schemas.openxmlformats.org/officeDocument/2006/relationships/hyperlink" Target="https://nsk.rbc.ru/nsk/22/06/2022/62b1fff69a7947d9dc682471" TargetMode="External"/><Relationship Id="rId76" Type="http://schemas.openxmlformats.org/officeDocument/2006/relationships/hyperlink" Target="https://pharmvestnik.ru/persons/Haritonin-Viktor-Vladimirovich.html" TargetMode="External"/><Relationship Id="rId77" Type="http://schemas.openxmlformats.org/officeDocument/2006/relationships/hyperlink" Target="https://supremecourt.uk/cases/judgments/uksc-2024-0055" TargetMode="External"/><Relationship Id="rId78" Type="http://schemas.openxmlformats.org/officeDocument/2006/relationships/hyperlink" Target="https://gosgmp.ru/gmp-programma-2024/programma-2024-2-den-1100-1200-parallel/" TargetMode="External"/><Relationship Id="rId79" Type="http://schemas.openxmlformats.org/officeDocument/2006/relationships/hyperlink" Target="https://www.mediasphera.ru/issues/terapevticheskij-arkhiv/2015/1/250040-366020150113" TargetMode="External"/><Relationship Id="rId80" Type="http://schemas.openxmlformats.org/officeDocument/2006/relationships/hyperlink" Target="https://wiki.tpu.ru/wiki/&#1055;&#1088;&#1086;&#1093;&#1086;&#1076;&#1072;_&#1045;&#1074;&#1075;&#1077;&#1085;&#1080;&#1081;_&#1060;&#1077;&#1076;&#1086;&#1088;&#1086;&#1074;&#1080;&#1095;" TargetMode="External"/><Relationship Id="rId81" Type="http://schemas.openxmlformats.org/officeDocument/2006/relationships/hyperlink" Target="https://alumninsu.ru/forbes-rating/" TargetMode="External"/><Relationship Id="rId82" Type="http://schemas.openxmlformats.org/officeDocument/2006/relationships/hyperlink" Target="https://vademec.ru/news/2018/03/28/partner-viktora-kharitonina-egor-kulkov-vyshel-iz-farmstandarta/" TargetMode="External"/><Relationship Id="rId83" Type="http://schemas.openxmlformats.org/officeDocument/2006/relationships/hyperlink" Target="https://www.paho.org/en/documents/wha4117-ethical-criteria-medicinal-drug-promotion-1988" TargetMode="External"/><Relationship Id="rId84" Type="http://schemas.openxmlformats.org/officeDocument/2006/relationships/hyperlink" Target="https://www.wma.net/policies-post/wma-international-code-of-medical-ethics/international-code-of-medical-ethics-2006/" TargetMode="External"/><Relationship Id="rId85" Type="http://schemas.openxmlformats.org/officeDocument/2006/relationships/hyperlink" Target="https://ifapp.org/wp-content/uploads/2016/12/IFAPP-Final-Ethics-Code-April-2003-2.pdf" TargetMode="External"/><Relationship Id="rId86" Type="http://schemas.openxmlformats.org/officeDocument/2006/relationships/hyperlink" Target="https://legalinstruments.oecd.org/public/doc/151/body-text.en.html" TargetMode="External"/><Relationship Id="rId87" Type="http://schemas.openxmlformats.org/officeDocument/2006/relationships/hyperlink" Target="https://minzdrav.gov.ru/documents/7025-federalnyy-zakon-323-fz-ot-21-noyabrya-2011-g" TargetMode="External"/><Relationship Id="rId88" Type="http://schemas.openxmlformats.org/officeDocument/2006/relationships/hyperlink" Target="https://minzdrav.gov.ru/documents/7853-prikaz-minzdravsotsrazvitiya-rossii-109-ot-12-fevralya-2007-g" TargetMode="External"/><Relationship Id="rId89" Type="http://schemas.openxmlformats.org/officeDocument/2006/relationships/hyperlink" Target="https://mednet.ru/sotrudniki/starodubov-vladimir-ivanovich" TargetMode="External"/><Relationship Id="rId90" Type="http://schemas.openxmlformats.org/officeDocument/2006/relationships/hyperlink" Target="https://new.ras.ru/anniversary/akademik-khabriev-ramil-usmanovich/" TargetMode="External"/><Relationship Id="rId91" Type="http://schemas.openxmlformats.org/officeDocument/2006/relationships/hyperlink" Target="https://ria.ru/20040326/555413.html" TargetMode="External"/><Relationship Id="rId92" Type="http://schemas.openxmlformats.org/officeDocument/2006/relationships/hyperlink" Target="https://rg.ru/2010/02/08/yurgel.html" TargetMode="External"/><Relationship Id="rId93" Type="http://schemas.openxmlformats.org/officeDocument/2006/relationships/hyperlink" Target="https://tass.ru/encyclopedia/person/zurabov-mihail-yurevich" TargetMode="External"/><Relationship Id="rId94" Type="http://schemas.openxmlformats.org/officeDocument/2006/relationships/hyperlink" Target="https://tass.ru/info/5213424" TargetMode="External"/><Relationship Id="rId95" Type="http://schemas.openxmlformats.org/officeDocument/2006/relationships/hyperlink" Target="https://rg.ru/2011/06/27/kodein.html" TargetMode="External"/><Relationship Id="rId96" Type="http://schemas.openxmlformats.org/officeDocument/2006/relationships/hyperlink" Target="https://archive.government.ru/special/persons/197/" TargetMode="External"/><Relationship Id="rId97" Type="http://schemas.openxmlformats.org/officeDocument/2006/relationships/hyperlink" Target="https://minzdrav.gov.ru/documents/6859-informatsionnoe-pismo-minzdravsotsrazvitiya-rossii-25-1-10-2-4131-ot-23-aprelya-2012-g" TargetMode="External"/><Relationship Id="rId98" Type="http://schemas.openxmlformats.org/officeDocument/2006/relationships/hyperlink" Target="https://rg.ru/2011/05/16/kodein-anons.html" TargetMode="External"/><Relationship Id="rId99" Type="http://schemas.openxmlformats.org/officeDocument/2006/relationships/hyperlink" Target="https://www.kremlin.ru/catalog/persons/54/biography" TargetMode="External"/><Relationship Id="rId100" Type="http://schemas.openxmlformats.org/officeDocument/2006/relationships/hyperlink" Target="https://rg.ru/2010/04/23/narkotik.html" TargetMode="External"/><Relationship Id="rId101" Type="http://schemas.openxmlformats.org/officeDocument/2006/relationships/image" Target="media/image10.png"/><Relationship Id="rId102" Type="http://schemas.openxmlformats.org/officeDocument/2006/relationships/image" Target="media/image11.png"/><Relationship Id="rId103" Type="http://schemas.openxmlformats.org/officeDocument/2006/relationships/image" Target="media/image12.png"/><Relationship Id="rId104" Type="http://schemas.openxmlformats.org/officeDocument/2006/relationships/image" Target="media/image13.png"/><Relationship Id="rId105" Type="http://schemas.openxmlformats.org/officeDocument/2006/relationships/image" Target="media/image14.png"/><Relationship Id="rId106" Type="http://schemas.openxmlformats.org/officeDocument/2006/relationships/image" Target="media/image15.png"/><Relationship Id="rId107" Type="http://schemas.openxmlformats.org/officeDocument/2006/relationships/image" Target="media/image16.png"/><Relationship Id="rId108" Type="http://schemas.openxmlformats.org/officeDocument/2006/relationships/image" Target="media/image17.png"/><Relationship Id="rId109" Type="http://schemas.openxmlformats.org/officeDocument/2006/relationships/image" Target="media/image18.jpg"/><Relationship Id="rId110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Безрецептурное лекарство от кашля с кодеином для детей от двух лет от «Фармстандарта»</dc:title>
  <dc:subject>Состав, детское применение, OTC-отпуск, реклама, бизнес, собственники, управленцы и государственные решения, 2003–2013</dc:subject>
  <dc:creator>Документально-аналитическая редакция</dc:creator>
  <cp:keywords>Фармстандарт, Коделак Фито, кодеин, Виктор Харитонин, Роман Абрамович, Евгений Швидлер, Игорь Крылов, Ольга Медникова, реклама, ГРЛС</cp:keywords>
  <dc:description>Фактографическая редакция с персонализированной морально-профессиональной оценкой корпоративных и государственных функций.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